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1a1924"/>
          <w:sz w:val="28"/>
          <w:szCs w:val="28"/>
        </w:rPr>
      </w:pPr>
      <w:r w:rsidDel="00000000" w:rsidR="00000000" w:rsidRPr="00000000">
        <w:rPr>
          <w:b w:val="1"/>
          <w:color w:val="1a1924"/>
          <w:sz w:val="28"/>
          <w:szCs w:val="28"/>
          <w:rtl w:val="0"/>
        </w:rPr>
        <w:t xml:space="preserve">Log4j Questionnaire </w:t>
      </w:r>
    </w:p>
    <w:p w:rsidR="00000000" w:rsidDel="00000000" w:rsidP="00000000" w:rsidRDefault="00000000" w:rsidRPr="00000000" w14:paraId="00000002">
      <w:pPr>
        <w:rPr>
          <w:b w:val="1"/>
          <w:color w:val="1a1924"/>
          <w:sz w:val="28"/>
          <w:szCs w:val="28"/>
        </w:rPr>
      </w:pPr>
      <w:r w:rsidDel="00000000" w:rsidR="00000000" w:rsidRPr="00000000">
        <w:rPr>
          <w:rtl w:val="0"/>
        </w:rPr>
      </w:r>
    </w:p>
    <w:tbl>
      <w:tblPr>
        <w:tblStyle w:val="Table1"/>
        <w:tblW w:w="10110.0" w:type="dxa"/>
        <w:jc w:val="left"/>
        <w:tblInd w:w="-1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3975"/>
        <w:gridCol w:w="1005"/>
        <w:gridCol w:w="4155"/>
        <w:tblGridChange w:id="0">
          <w:tblGrid>
            <w:gridCol w:w="975"/>
            <w:gridCol w:w="3975"/>
            <w:gridCol w:w="1005"/>
            <w:gridCol w:w="4155"/>
          </w:tblGrid>
        </w:tblGridChange>
      </w:tblGrid>
      <w:tr>
        <w:trPr>
          <w:cantSplit w:val="0"/>
          <w:tblHeader w:val="0"/>
        </w:trPr>
        <w:tc>
          <w:tcPr>
            <w:tcBorders>
              <w:top w:color="000000" w:space="0" w:sz="4" w:val="single"/>
              <w:left w:color="000000" w:space="0" w:sz="4" w:val="single"/>
              <w:bottom w:color="1a1924" w:space="0" w:sz="4" w:val="single"/>
              <w:right w:color="000000" w:space="0" w:sz="4"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color w:val="1a1924"/>
                <w:sz w:val="20"/>
                <w:szCs w:val="20"/>
              </w:rPr>
            </w:pPr>
            <w:r w:rsidDel="00000000" w:rsidR="00000000" w:rsidRPr="00000000">
              <w:rPr>
                <w:b w:val="1"/>
                <w:color w:val="1a1924"/>
                <w:sz w:val="20"/>
                <w:szCs w:val="20"/>
                <w:rtl w:val="0"/>
              </w:rPr>
              <w:t xml:space="preserve">Name</w:t>
            </w:r>
            <w:r w:rsidDel="00000000" w:rsidR="00000000" w:rsidRPr="00000000">
              <w:rPr>
                <w:color w:val="1a1924"/>
                <w:sz w:val="20"/>
                <w:szCs w:val="20"/>
                <w:rtl w:val="0"/>
              </w:rPr>
              <w:t xml:space="preserve">:</w:t>
            </w:r>
          </w:p>
        </w:tc>
        <w:tc>
          <w:tcPr>
            <w:tcBorders>
              <w:top w:color="000000" w:space="0" w:sz="4" w:val="single"/>
              <w:left w:color="000000" w:space="0" w:sz="4" w:val="single"/>
              <w:bottom w:color="434343"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color w:val="1a1924"/>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color w:val="1a1924"/>
                <w:sz w:val="20"/>
                <w:szCs w:val="20"/>
              </w:rPr>
            </w:pPr>
            <w:r w:rsidDel="00000000" w:rsidR="00000000" w:rsidRPr="00000000">
              <w:rPr>
                <w:b w:val="1"/>
                <w:color w:val="1a1924"/>
                <w:sz w:val="20"/>
                <w:szCs w:val="20"/>
                <w:rtl w:val="0"/>
              </w:rPr>
              <w:t xml:space="preserve">Title</w:t>
            </w:r>
            <w:r w:rsidDel="00000000" w:rsidR="00000000" w:rsidRPr="00000000">
              <w:rPr>
                <w:color w:val="1a1924"/>
                <w:sz w:val="20"/>
                <w:szCs w:val="20"/>
                <w:rtl w:val="0"/>
              </w:rPr>
              <w:t xml:space="preserve">:</w:t>
            </w:r>
          </w:p>
        </w:tc>
        <w:tc>
          <w:tcPr>
            <w:tcBorders>
              <w:top w:color="000000" w:space="0" w:sz="4" w:val="single"/>
              <w:left w:color="000000" w:space="0" w:sz="4" w:val="single"/>
              <w:bottom w:color="1a1924"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color w:val="1a1924"/>
                <w:sz w:val="20"/>
                <w:szCs w:val="20"/>
              </w:rPr>
            </w:pPr>
            <w:r w:rsidDel="00000000" w:rsidR="00000000" w:rsidRPr="00000000">
              <w:rPr>
                <w:rtl w:val="0"/>
              </w:rPr>
            </w:r>
          </w:p>
        </w:tc>
      </w:tr>
      <w:tr>
        <w:trPr>
          <w:cantSplit w:val="0"/>
          <w:tblHeader w:val="0"/>
        </w:trPr>
        <w:tc>
          <w:tcPr>
            <w:tcBorders>
              <w:top w:color="1a1924" w:space="0" w:sz="4" w:val="single"/>
              <w:left w:color="1a1924" w:space="0" w:sz="4" w:val="single"/>
              <w:bottom w:color="1a1924" w:space="0" w:sz="4" w:val="single"/>
              <w:right w:color="434343" w:space="0" w:sz="4"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color w:val="1a1924"/>
                <w:sz w:val="20"/>
                <w:szCs w:val="20"/>
              </w:rPr>
            </w:pPr>
            <w:r w:rsidDel="00000000" w:rsidR="00000000" w:rsidRPr="00000000">
              <w:rPr>
                <w:b w:val="1"/>
                <w:color w:val="1a1924"/>
                <w:sz w:val="20"/>
                <w:szCs w:val="20"/>
                <w:rtl w:val="0"/>
              </w:rPr>
              <w:t xml:space="preserve">Email</w:t>
            </w:r>
            <w:r w:rsidDel="00000000" w:rsidR="00000000" w:rsidRPr="00000000">
              <w:rPr>
                <w:color w:val="1a1924"/>
                <w:sz w:val="20"/>
                <w:szCs w:val="20"/>
                <w:rtl w:val="0"/>
              </w:rPr>
              <w:t xml:space="preserve">:</w:t>
            </w:r>
          </w:p>
        </w:tc>
        <w:tc>
          <w:tcPr>
            <w:tcBorders>
              <w:top w:color="434343" w:space="0" w:sz="4" w:val="single"/>
              <w:left w:color="434343" w:space="0" w:sz="4" w:val="single"/>
              <w:bottom w:color="434343"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color w:val="1a1924"/>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color w:val="1a1924"/>
                <w:sz w:val="24"/>
                <w:szCs w:val="24"/>
              </w:rPr>
            </w:pPr>
            <w:r w:rsidDel="00000000" w:rsidR="00000000" w:rsidRPr="00000000">
              <w:rPr>
                <w:b w:val="1"/>
                <w:color w:val="1a1924"/>
                <w:sz w:val="20"/>
                <w:szCs w:val="20"/>
                <w:rtl w:val="0"/>
              </w:rPr>
              <w:t xml:space="preserve">Phone</w:t>
            </w:r>
            <w:r w:rsidDel="00000000" w:rsidR="00000000" w:rsidRPr="00000000">
              <w:rPr>
                <w:color w:val="1a1924"/>
                <w:sz w:val="20"/>
                <w:szCs w:val="20"/>
                <w:rtl w:val="0"/>
              </w:rPr>
              <w:t xml:space="preserve">:</w:t>
            </w:r>
            <w:r w:rsidDel="00000000" w:rsidR="00000000" w:rsidRPr="00000000">
              <w:rPr>
                <w:rtl w:val="0"/>
              </w:rPr>
            </w:r>
          </w:p>
        </w:tc>
        <w:tc>
          <w:tcPr>
            <w:tcBorders>
              <w:top w:color="1a1924" w:space="0" w:sz="4" w:val="single"/>
              <w:left w:color="000000" w:space="0" w:sz="4" w:val="single"/>
              <w:bottom w:color="1a1924" w:space="0" w:sz="4" w:val="single"/>
              <w:right w:color="1a1924"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color w:val="1a1924"/>
                <w:sz w:val="20"/>
                <w:szCs w:val="20"/>
              </w:rPr>
            </w:pPr>
            <w:r w:rsidDel="00000000" w:rsidR="00000000" w:rsidRPr="00000000">
              <w:rPr>
                <w:rtl w:val="0"/>
              </w:rPr>
            </w:r>
          </w:p>
        </w:tc>
      </w:tr>
      <w:tr>
        <w:trPr>
          <w:cantSplit w:val="0"/>
          <w:trHeight w:val="400" w:hRule="atLeast"/>
          <w:tblHeader w:val="0"/>
        </w:trPr>
        <w:tc>
          <w:tcPr>
            <w:gridSpan w:val="4"/>
            <w:tcBorders>
              <w:top w:color="1a1924" w:space="0" w:sz="4" w:val="single"/>
              <w:left w:color="ffffff" w:space="0" w:sz="4" w:val="single"/>
              <w:bottom w:color="ffffff" w:space="0" w:sz="4" w:val="single"/>
              <w:right w:color="ffffff"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color w:val="1a1924"/>
                <w:sz w:val="20"/>
                <w:szCs w:val="20"/>
              </w:rPr>
            </w:pPr>
            <w:r w:rsidDel="00000000" w:rsidR="00000000" w:rsidRPr="00000000">
              <w:rPr>
                <w:color w:val="1a1924"/>
                <w:sz w:val="20"/>
                <w:szCs w:val="20"/>
                <w:rtl w:val="0"/>
              </w:rPr>
              <w:t xml:space="preserve">Information about the person completing this questionnaire.</w:t>
            </w:r>
            <w:r w:rsidDel="00000000" w:rsidR="00000000" w:rsidRPr="00000000">
              <w:rPr>
                <w:rtl w:val="0"/>
              </w:rPr>
            </w:r>
          </w:p>
        </w:tc>
      </w:tr>
    </w:tbl>
    <w:p w:rsidR="00000000" w:rsidDel="00000000" w:rsidP="00000000" w:rsidRDefault="00000000" w:rsidRPr="00000000" w14:paraId="0000000F">
      <w:pPr>
        <w:rPr>
          <w:color w:val="1a1924"/>
          <w:sz w:val="20"/>
          <w:szCs w:val="20"/>
        </w:rPr>
      </w:pPr>
      <w:r w:rsidDel="00000000" w:rsidR="00000000" w:rsidRPr="00000000">
        <w:rPr>
          <w:rtl w:val="0"/>
        </w:rPr>
      </w:r>
    </w:p>
    <w:tbl>
      <w:tblPr>
        <w:tblStyle w:val="Table2"/>
        <w:tblW w:w="10215.0" w:type="dxa"/>
        <w:jc w:val="left"/>
        <w:tblInd w:w="-170.64"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
        <w:gridCol w:w="1725"/>
        <w:gridCol w:w="3105"/>
        <w:tblGridChange w:id="0">
          <w:tblGrid>
            <w:gridCol w:w="5385"/>
            <w:gridCol w:w="1725"/>
            <w:gridCol w:w="3105"/>
          </w:tblGrid>
        </w:tblGridChange>
      </w:tblGrid>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shd w:fill="e7e6e6" w:val="clear"/>
            <w:tcMar>
              <w:top w:w="99.36" w:type="dxa"/>
              <w:left w:w="99.36" w:type="dxa"/>
              <w:bottom w:w="99.36" w:type="dxa"/>
              <w:right w:w="99.36" w:type="dxa"/>
            </w:tcMar>
            <w:vAlign w:val="top"/>
          </w:tcPr>
          <w:p w:rsidR="00000000" w:rsidDel="00000000" w:rsidP="00000000" w:rsidRDefault="00000000" w:rsidRPr="00000000" w14:paraId="00000010">
            <w:pPr>
              <w:rPr>
                <w:b w:val="1"/>
                <w:color w:val="0070c0"/>
                <w:sz w:val="20"/>
                <w:szCs w:val="20"/>
              </w:rPr>
            </w:pPr>
            <w:r w:rsidDel="00000000" w:rsidR="00000000" w:rsidRPr="00000000">
              <w:rPr>
                <w:b w:val="1"/>
                <w:color w:val="0070c0"/>
                <w:sz w:val="20"/>
                <w:szCs w:val="20"/>
                <w:rtl w:val="0"/>
              </w:rPr>
              <w:t xml:space="preserve">Question</w:t>
            </w:r>
          </w:p>
        </w:tc>
        <w:tc>
          <w:tcPr>
            <w:tcBorders>
              <w:top w:color="000000" w:space="0" w:sz="8" w:val="single"/>
              <w:left w:color="000000" w:space="0" w:sz="0" w:val="nil"/>
              <w:bottom w:color="000000" w:space="0" w:sz="8" w:val="single"/>
              <w:right w:color="000000" w:space="0" w:sz="8" w:val="single"/>
            </w:tcBorders>
            <w:shd w:fill="e7e6e6" w:val="clear"/>
            <w:tcMar>
              <w:top w:w="99.36" w:type="dxa"/>
              <w:left w:w="99.36" w:type="dxa"/>
              <w:bottom w:w="99.36" w:type="dxa"/>
              <w:right w:w="99.36" w:type="dxa"/>
            </w:tcMar>
          </w:tcPr>
          <w:p w:rsidR="00000000" w:rsidDel="00000000" w:rsidP="00000000" w:rsidRDefault="00000000" w:rsidRPr="00000000" w14:paraId="00000011">
            <w:pPr>
              <w:rPr>
                <w:b w:val="1"/>
                <w:color w:val="0070c0"/>
                <w:sz w:val="20"/>
                <w:szCs w:val="20"/>
              </w:rPr>
            </w:pPr>
            <w:r w:rsidDel="00000000" w:rsidR="00000000" w:rsidRPr="00000000">
              <w:rPr>
                <w:b w:val="1"/>
                <w:color w:val="0070c0"/>
                <w:sz w:val="20"/>
                <w:szCs w:val="20"/>
                <w:rtl w:val="0"/>
              </w:rPr>
              <w:t xml:space="preserve">Response</w:t>
            </w:r>
          </w:p>
          <w:p w:rsidR="00000000" w:rsidDel="00000000" w:rsidP="00000000" w:rsidRDefault="00000000" w:rsidRPr="00000000" w14:paraId="00000012">
            <w:pPr>
              <w:rPr>
                <w:b w:val="1"/>
                <w:color w:val="0070c0"/>
                <w:sz w:val="20"/>
                <w:szCs w:val="20"/>
              </w:rPr>
            </w:pPr>
            <w:r w:rsidDel="00000000" w:rsidR="00000000" w:rsidRPr="00000000">
              <w:rPr>
                <w:b w:val="1"/>
                <w:color w:val="0070c0"/>
                <w:sz w:val="20"/>
                <w:szCs w:val="20"/>
                <w:rtl w:val="0"/>
              </w:rPr>
              <w:t xml:space="preserve">(Y, N, N/A)</w:t>
            </w:r>
          </w:p>
        </w:tc>
        <w:tc>
          <w:tcPr>
            <w:tcBorders>
              <w:top w:color="000000" w:space="0" w:sz="8" w:val="single"/>
              <w:left w:color="000000" w:space="0" w:sz="0" w:val="nil"/>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13">
            <w:pPr>
              <w:rPr>
                <w:b w:val="1"/>
                <w:color w:val="0070c0"/>
                <w:sz w:val="20"/>
                <w:szCs w:val="20"/>
              </w:rPr>
            </w:pPr>
            <w:r w:rsidDel="00000000" w:rsidR="00000000" w:rsidRPr="00000000">
              <w:rPr>
                <w:b w:val="1"/>
                <w:color w:val="0070c0"/>
                <w:sz w:val="20"/>
                <w:szCs w:val="20"/>
                <w:rtl w:val="0"/>
              </w:rPr>
              <w:t xml:space="preserve">Comments</w:t>
            </w:r>
          </w:p>
        </w:tc>
      </w:tr>
      <w:tr>
        <w:trPr>
          <w:cantSplit w:val="0"/>
          <w:trHeight w:val="99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14">
            <w:pPr>
              <w:ind w:left="0" w:firstLine="0"/>
              <w:rPr>
                <w:sz w:val="20"/>
                <w:szCs w:val="20"/>
              </w:rPr>
            </w:pPr>
            <w:r w:rsidDel="00000000" w:rsidR="00000000" w:rsidRPr="00000000">
              <w:rPr>
                <w:sz w:val="20"/>
                <w:szCs w:val="20"/>
                <w:rtl w:val="0"/>
              </w:rPr>
              <w:t xml:space="preserve">(1) Does your company utilize Apache Log4j in any of your environments including enterprise and customer? If not, please advance to question (8). If yes, please respond to the rest of the questions.</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15">
            <w:pPr>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rPr>
                <w:sz w:val="20"/>
                <w:szCs w:val="20"/>
              </w:rPr>
            </w:pPr>
            <w:r w:rsidDel="00000000" w:rsidR="00000000" w:rsidRPr="00000000">
              <w:rPr>
                <w:sz w:val="20"/>
                <w:szCs w:val="20"/>
                <w:rtl w:val="0"/>
              </w:rPr>
              <w:t xml:space="preserve"> </w:t>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17">
            <w:pPr>
              <w:ind w:left="0" w:firstLine="0"/>
              <w:rPr>
                <w:sz w:val="20"/>
                <w:szCs w:val="20"/>
              </w:rPr>
            </w:pPr>
            <w:r w:rsidDel="00000000" w:rsidR="00000000" w:rsidRPr="00000000">
              <w:rPr>
                <w:sz w:val="20"/>
                <w:szCs w:val="20"/>
                <w:rtl w:val="0"/>
              </w:rPr>
              <w:t xml:space="preserve">(2) Have your company experienced a security incident as a result of the Log4j vulnerability? If yes, please provide details.</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18">
            <w:pPr>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rPr>
                <w:sz w:val="20"/>
                <w:szCs w:val="20"/>
              </w:rPr>
            </w:pPr>
            <w:r w:rsidDel="00000000" w:rsidR="00000000" w:rsidRPr="00000000">
              <w:rPr>
                <w:rtl w:val="0"/>
              </w:rPr>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1A">
            <w:pPr>
              <w:ind w:left="0" w:firstLine="0"/>
              <w:rPr>
                <w:sz w:val="20"/>
                <w:szCs w:val="20"/>
              </w:rPr>
            </w:pPr>
            <w:r w:rsidDel="00000000" w:rsidR="00000000" w:rsidRPr="00000000">
              <w:rPr>
                <w:sz w:val="20"/>
                <w:szCs w:val="20"/>
                <w:rtl w:val="0"/>
              </w:rPr>
              <w:t xml:space="preserve">(3) Was there an impact to Zoom data or services as a result of the Log4j vulnerability? If yes, please respond to (a)-(b)</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1B">
            <w:pPr>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sz w:val="20"/>
                <w:szCs w:val="20"/>
              </w:rPr>
            </w:pPr>
            <w:r w:rsidDel="00000000" w:rsidR="00000000" w:rsidRPr="00000000">
              <w:rPr>
                <w:rtl w:val="0"/>
              </w:rPr>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1D">
            <w:pPr>
              <w:ind w:left="720" w:firstLine="0"/>
              <w:rPr>
                <w:sz w:val="20"/>
                <w:szCs w:val="20"/>
              </w:rPr>
            </w:pPr>
            <w:r w:rsidDel="00000000" w:rsidR="00000000" w:rsidRPr="00000000">
              <w:rPr>
                <w:sz w:val="20"/>
                <w:szCs w:val="20"/>
                <w:rtl w:val="0"/>
              </w:rPr>
              <w:t xml:space="preserve">(a)   Provide details on the impact including what data was accessed and/or exfiltrated, which environment was affected, etc.</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1E">
            <w:pPr>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rPr>
                <w:sz w:val="20"/>
                <w:szCs w:val="20"/>
              </w:rPr>
            </w:pPr>
            <w:r w:rsidDel="00000000" w:rsidR="00000000" w:rsidRPr="00000000">
              <w:rPr>
                <w:rtl w:val="0"/>
              </w:rPr>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20">
            <w:pPr>
              <w:ind w:left="720" w:firstLine="0"/>
              <w:rPr>
                <w:sz w:val="20"/>
                <w:szCs w:val="20"/>
              </w:rPr>
            </w:pPr>
            <w:r w:rsidDel="00000000" w:rsidR="00000000" w:rsidRPr="00000000">
              <w:rPr>
                <w:sz w:val="20"/>
                <w:szCs w:val="20"/>
                <w:rtl w:val="0"/>
              </w:rPr>
              <w:t xml:space="preserve">(b)   Has a forensic review been completed and if not, what is the expected date of completion? If yes, please summarize the results.</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21">
            <w:pPr>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sz w:val="20"/>
                <w:szCs w:val="20"/>
              </w:rPr>
            </w:pPr>
            <w:r w:rsidDel="00000000" w:rsidR="00000000" w:rsidRPr="00000000">
              <w:rPr>
                <w:rtl w:val="0"/>
              </w:rPr>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23">
            <w:pPr>
              <w:ind w:left="0" w:firstLine="0"/>
              <w:rPr>
                <w:sz w:val="20"/>
                <w:szCs w:val="20"/>
              </w:rPr>
            </w:pPr>
            <w:r w:rsidDel="00000000" w:rsidR="00000000" w:rsidRPr="00000000">
              <w:rPr>
                <w:sz w:val="20"/>
                <w:szCs w:val="20"/>
                <w:rtl w:val="0"/>
              </w:rPr>
              <w:t xml:space="preserve">(4) Have you followed Apache’s guidelines for assessing and remediating this vulnerability? If not, please provide the reason</w:t>
            </w: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24">
            <w:pPr>
              <w:rPr>
                <w:color w:val="ff0000"/>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rPr>
                <w:sz w:val="20"/>
                <w:szCs w:val="20"/>
              </w:rPr>
            </w:pPr>
            <w:r w:rsidDel="00000000" w:rsidR="00000000" w:rsidRPr="00000000">
              <w:rPr>
                <w:rtl w:val="0"/>
              </w:rPr>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27">
            <w:pPr>
              <w:ind w:left="0" w:firstLine="0"/>
              <w:rPr>
                <w:sz w:val="20"/>
                <w:szCs w:val="20"/>
              </w:rPr>
            </w:pPr>
            <w:r w:rsidDel="00000000" w:rsidR="00000000" w:rsidRPr="00000000">
              <w:rPr>
                <w:sz w:val="20"/>
                <w:szCs w:val="20"/>
                <w:rtl w:val="0"/>
              </w:rPr>
              <w:t xml:space="preserve">(5) Are there vulnerable versions of Log4j still being utilized within your environments? If yes, please respond to (a)</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28">
            <w:pPr>
              <w:rPr>
                <w:color w:val="ff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rPr>
                <w:sz w:val="20"/>
                <w:szCs w:val="20"/>
              </w:rPr>
            </w:pPr>
            <w:r w:rsidDel="00000000" w:rsidR="00000000" w:rsidRPr="00000000">
              <w:rPr>
                <w:rtl w:val="0"/>
              </w:rPr>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2A">
            <w:pPr>
              <w:ind w:left="720" w:firstLine="0"/>
              <w:rPr>
                <w:sz w:val="20"/>
                <w:szCs w:val="20"/>
              </w:rPr>
            </w:pPr>
            <w:r w:rsidDel="00000000" w:rsidR="00000000" w:rsidRPr="00000000">
              <w:rPr>
                <w:sz w:val="20"/>
                <w:szCs w:val="20"/>
                <w:rtl w:val="0"/>
              </w:rPr>
              <w:t xml:space="preserve">(a) If you are still vulnerable, what is your plan for remediation? Please include the expected date of remediation.</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2B">
            <w:pPr>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rPr>
                <w:sz w:val="20"/>
                <w:szCs w:val="20"/>
              </w:rPr>
            </w:pPr>
            <w:r w:rsidDel="00000000" w:rsidR="00000000" w:rsidRPr="00000000">
              <w:rPr>
                <w:rtl w:val="0"/>
              </w:rPr>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2D">
            <w:pPr>
              <w:ind w:left="0" w:firstLine="0"/>
              <w:rPr>
                <w:sz w:val="20"/>
                <w:szCs w:val="20"/>
              </w:rPr>
            </w:pPr>
            <w:r w:rsidDel="00000000" w:rsidR="00000000" w:rsidRPr="00000000">
              <w:rPr>
                <w:sz w:val="20"/>
                <w:szCs w:val="20"/>
                <w:rtl w:val="0"/>
              </w:rPr>
              <w:t xml:space="preserve">(6) Which version of Log4j have you upgraded to or are you upgrading </w:t>
            </w:r>
            <w:r w:rsidDel="00000000" w:rsidR="00000000" w:rsidRPr="00000000">
              <w:rPr>
                <w:sz w:val="20"/>
                <w:szCs w:val="20"/>
                <w:rtl w:val="0"/>
              </w:rPr>
              <w:t xml:space="preserve">to</w:t>
            </w:r>
            <w:r w:rsidDel="00000000" w:rsidR="00000000" w:rsidRPr="00000000">
              <w:rPr>
                <w:sz w:val="20"/>
                <w:szCs w:val="20"/>
                <w:rtl w:val="0"/>
              </w:rPr>
              <w:t xml:space="preserve">?</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2E">
            <w:pPr>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rtl w:val="0"/>
              </w:rPr>
            </w:r>
          </w:p>
        </w:tc>
      </w:tr>
      <w:tr>
        <w:trPr>
          <w:cantSplit w:val="0"/>
          <w:trHeight w:val="51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30">
            <w:pPr>
              <w:ind w:left="0" w:firstLine="0"/>
              <w:rPr>
                <w:sz w:val="20"/>
                <w:szCs w:val="20"/>
              </w:rPr>
            </w:pPr>
            <w:r w:rsidDel="00000000" w:rsidR="00000000" w:rsidRPr="00000000">
              <w:rPr>
                <w:sz w:val="20"/>
                <w:szCs w:val="20"/>
                <w:rtl w:val="0"/>
              </w:rPr>
              <w:t xml:space="preserve">(7) If applicable, what does Zoom need to do to upgrade our instance of your product?</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31">
            <w:pPr>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rtl w:val="0"/>
              </w:rPr>
            </w:r>
          </w:p>
        </w:tc>
      </w:tr>
      <w:tr>
        <w:trPr>
          <w:cantSplit w:val="0"/>
          <w:trHeight w:val="995" w:hRule="atLeast"/>
          <w:tblHeader w:val="0"/>
        </w:trPr>
        <w:tc>
          <w:tcPr>
            <w:tcBorders>
              <w:top w:color="000000" w:space="0" w:sz="0" w:val="nil"/>
              <w:left w:color="000000" w:space="0" w:sz="8" w:val="single"/>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33">
            <w:pPr>
              <w:ind w:left="0" w:firstLine="0"/>
              <w:rPr>
                <w:sz w:val="20"/>
                <w:szCs w:val="20"/>
              </w:rPr>
            </w:pPr>
            <w:r w:rsidDel="00000000" w:rsidR="00000000" w:rsidRPr="00000000">
              <w:rPr>
                <w:sz w:val="20"/>
                <w:szCs w:val="20"/>
                <w:rtl w:val="0"/>
              </w:rPr>
              <w:t xml:space="preserve">(8) Have any of your third party vendors experienced a security incident from the Log4j vulnerability? If yes and there could be an impact to Zoom, please provide details. </w:t>
            </w:r>
          </w:p>
        </w:tc>
        <w:tc>
          <w:tcPr>
            <w:tcBorders>
              <w:top w:color="000000" w:space="0" w:sz="0" w:val="nil"/>
              <w:left w:color="000000" w:space="0" w:sz="0" w:val="nil"/>
              <w:bottom w:color="000000" w:space="0" w:sz="8" w:val="single"/>
              <w:right w:color="000000" w:space="0" w:sz="8" w:val="single"/>
            </w:tcBorders>
            <w:tcMar>
              <w:top w:w="40.0" w:type="dxa"/>
              <w:left w:w="40.0" w:type="dxa"/>
              <w:bottom w:w="40.0" w:type="dxa"/>
              <w:right w:w="40.0" w:type="dxa"/>
            </w:tcMar>
          </w:tcPr>
          <w:p w:rsidR="00000000" w:rsidDel="00000000" w:rsidP="00000000" w:rsidRDefault="00000000" w:rsidRPr="00000000" w14:paraId="00000034">
            <w:pPr>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rPr>
                <w:b w:val="1"/>
                <w:color w:val="0070c0"/>
                <w:sz w:val="20"/>
                <w:szCs w:val="20"/>
              </w:rPr>
            </w:pPr>
            <w:r w:rsidDel="00000000" w:rsidR="00000000" w:rsidRPr="00000000">
              <w:rPr>
                <w:color w:val="ff0000"/>
                <w:sz w:val="20"/>
                <w:szCs w:val="20"/>
                <w:rtl w:val="0"/>
              </w:rPr>
              <w:t xml:space="preserve"> </w:t>
            </w:r>
            <w:r w:rsidDel="00000000" w:rsidR="00000000" w:rsidRPr="00000000">
              <w:rPr>
                <w:rtl w:val="0"/>
              </w:rPr>
            </w:r>
          </w:p>
          <w:p w:rsidR="00000000" w:rsidDel="00000000" w:rsidP="00000000" w:rsidRDefault="00000000" w:rsidRPr="00000000" w14:paraId="00000036">
            <w:pPr>
              <w:rPr>
                <w:color w:val="ff0000"/>
                <w:sz w:val="20"/>
                <w:szCs w:val="20"/>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