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892"/>
      </w:tblGrid>
      <w:tr w:rsidR="00835A66" w:rsidRPr="00835A66" w:rsidTr="00835A6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35A66" w:rsidRPr="00835A66" w:rsidRDefault="00835A66" w:rsidP="00835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6">
              <w:rPr>
                <w:rFonts w:ascii="Verdana" w:eastAsia="Times New Roman" w:hAnsi="Verdana" w:cs="Times New Roman"/>
                <w:b/>
                <w:bCs/>
                <w:color w:val="CC0000"/>
                <w:sz w:val="15"/>
                <w:szCs w:val="15"/>
              </w:rPr>
              <w:t>Rabu</w:t>
            </w:r>
            <w:proofErr w:type="spellEnd"/>
            <w:r w:rsidRPr="00835A66">
              <w:rPr>
                <w:rFonts w:ascii="Verdana" w:eastAsia="Times New Roman" w:hAnsi="Verdana" w:cs="Times New Roman"/>
                <w:b/>
                <w:bCs/>
                <w:color w:val="CC0000"/>
                <w:sz w:val="15"/>
                <w:szCs w:val="15"/>
              </w:rPr>
              <w:t xml:space="preserve">, 02 </w:t>
            </w:r>
            <w:proofErr w:type="spellStart"/>
            <w:r w:rsidRPr="00835A66">
              <w:rPr>
                <w:rFonts w:ascii="Verdana" w:eastAsia="Times New Roman" w:hAnsi="Verdana" w:cs="Times New Roman"/>
                <w:b/>
                <w:bCs/>
                <w:color w:val="CC0000"/>
                <w:sz w:val="15"/>
                <w:szCs w:val="15"/>
              </w:rPr>
              <w:t>Maret</w:t>
            </w:r>
            <w:proofErr w:type="spellEnd"/>
            <w:r w:rsidRPr="00835A66">
              <w:rPr>
                <w:rFonts w:ascii="Verdana" w:eastAsia="Times New Roman" w:hAnsi="Verdana" w:cs="Times New Roman"/>
                <w:b/>
                <w:bCs/>
                <w:color w:val="CC0000"/>
                <w:sz w:val="15"/>
                <w:szCs w:val="15"/>
              </w:rPr>
              <w:t xml:space="preserve"> 2005 </w:t>
            </w:r>
          </w:p>
        </w:tc>
      </w:tr>
      <w:tr w:rsidR="00835A66" w:rsidRPr="00835A66" w:rsidTr="00835A66">
        <w:trPr>
          <w:trHeight w:val="9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35A66" w:rsidRPr="00835A66" w:rsidRDefault="00835A66" w:rsidP="0083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835A66" w:rsidRPr="00835A66" w:rsidTr="00835A66">
        <w:trPr>
          <w:trHeight w:val="15"/>
          <w:tblCellSpacing w:w="0" w:type="dxa"/>
          <w:jc w:val="center"/>
        </w:trPr>
        <w:tc>
          <w:tcPr>
            <w:tcW w:w="0" w:type="auto"/>
            <w:shd w:val="clear" w:color="auto" w:fill="8F8F8F"/>
            <w:vAlign w:val="center"/>
            <w:hideMark/>
          </w:tcPr>
          <w:p w:rsidR="00835A66" w:rsidRPr="00835A66" w:rsidRDefault="00835A66" w:rsidP="0083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835A66" w:rsidRPr="00835A66" w:rsidTr="00835A66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35A66" w:rsidRPr="00835A66" w:rsidRDefault="00835A66" w:rsidP="00835A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35A66" w:rsidRPr="00835A66" w:rsidTr="00835A6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35A66" w:rsidRPr="00835A66" w:rsidRDefault="00835A66" w:rsidP="00835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6">
              <w:rPr>
                <w:rFonts w:ascii="Arial" w:eastAsia="Times New Roman" w:hAnsi="Arial" w:cs="Arial"/>
                <w:sz w:val="27"/>
                <w:szCs w:val="27"/>
              </w:rPr>
              <w:t>Pasar</w:t>
            </w:r>
            <w:proofErr w:type="spellEnd"/>
            <w:r w:rsidRPr="00835A66"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7"/>
                <w:szCs w:val="27"/>
              </w:rPr>
              <w:t>Saham</w:t>
            </w:r>
            <w:proofErr w:type="spellEnd"/>
            <w:r w:rsidRPr="00835A66"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7"/>
                <w:szCs w:val="27"/>
              </w:rPr>
              <w:t>Kembali</w:t>
            </w:r>
            <w:proofErr w:type="spellEnd"/>
            <w:r w:rsidRPr="00835A66"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7"/>
                <w:szCs w:val="27"/>
              </w:rPr>
              <w:t>Menguat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835A66" w:rsidRPr="00835A66" w:rsidRDefault="00835A66" w:rsidP="00835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Jakarta,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Kompas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Setelah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dua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hari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tertekan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pasar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saham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kembali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bangkit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seiring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kepastian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kenaikan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harga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bahan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bakar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minyak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Efek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negatif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kenaikan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harga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bahan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bakar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minyak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ini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memang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telah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dimasukkan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dalam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proyeksi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pemodal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Indeks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Harga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Saham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Gabungan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Bursa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Efek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Jakarta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pada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perdagangan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Selasa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(1/3)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ditutup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menguat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19,453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poin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atau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1,812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persen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posisi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1.093,281.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Faktor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pendorong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lainnya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adalah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kinerja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emiten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deflasi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penguatan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kembali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secara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teknis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835A66" w:rsidRPr="00835A66" w:rsidRDefault="00835A66" w:rsidP="00835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Menurut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Head of Equity Research AAA Securities,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Arianto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Reksoprodjo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pengaruh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langsung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kenaikan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harga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bahan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bakar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minyak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(BBM)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terhadap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kinerja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emiten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memang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besar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Terhadap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sektor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semen,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dampak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kenaikan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harga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BBM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terhadap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kenaikan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biaya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yang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harus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ditanggung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emiten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adalah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3</w:t>
            </w:r>
            <w:proofErr w:type="gram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,9</w:t>
            </w:r>
            <w:proofErr w:type="gram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-5,9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persen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835A66" w:rsidRPr="00835A66" w:rsidRDefault="00835A66" w:rsidP="00835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Adapun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pengaruh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kenaikan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BBM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terhadap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kenaikan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biaya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sektor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lain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adalah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pertambangan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2,9-4,9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persen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alat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berat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kurang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dari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2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persen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infrastruktur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2-4,9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persen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otomotif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2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persen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rokok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2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persen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barang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konsumsi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3,9-7,8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persen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farmasi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kurang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dari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2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persen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industri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lain 3,9-9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persen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835A66" w:rsidRPr="00835A66" w:rsidRDefault="00835A66" w:rsidP="00835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6">
              <w:rPr>
                <w:rFonts w:ascii="Arial" w:eastAsia="Times New Roman" w:hAnsi="Arial" w:cs="Arial"/>
                <w:sz w:val="20"/>
                <w:szCs w:val="20"/>
              </w:rPr>
              <w:t>"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Ini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baru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dampak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langsung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Kami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belum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menghitung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dampak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langsung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seperti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terhadap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sektor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otomotif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akan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ada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kemungkinan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penurunan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pendapatan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,"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katanya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835A66" w:rsidRPr="00835A66" w:rsidRDefault="00835A66" w:rsidP="00835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Menurut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Arianto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kenaikan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harga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BBM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ini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sudah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diperkirakan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sejak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lama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oleh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pemodal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sehingga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perdebatan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DPR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terlalu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berpengaruh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terhadap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IHSG Bursa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Efek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Jakarta (BEJ).</w:t>
            </w:r>
          </w:p>
          <w:p w:rsidR="00835A66" w:rsidRPr="00835A66" w:rsidRDefault="00835A66" w:rsidP="00835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Secara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teknis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indeks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sudah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turun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jauh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tekanan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oleh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aksi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ambil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untung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pemodal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dari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sempat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mencapai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kisaran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1.100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ke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kisaran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1.070.</w:t>
            </w:r>
          </w:p>
          <w:p w:rsidR="00835A66" w:rsidRPr="00835A66" w:rsidRDefault="00835A66" w:rsidP="00835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Oleh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karena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itu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pemodal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merasa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sudah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saatnya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untuk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membeli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kembali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saham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yang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telah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dilepas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Selain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itu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bagusnya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kinerja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Adhi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Karya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Aneka Tambang,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serta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indikasi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keuntungan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beberapa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emiten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lain yang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lebih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tinggi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dari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perkiraan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seperti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Telkom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Astra,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juga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memberi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sentimen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positif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kepada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pasar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835A66" w:rsidRPr="00835A66" w:rsidRDefault="00835A66" w:rsidP="00835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Adapun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deflasi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yang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terjadi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bulan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Februari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hanya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memberikan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sedikit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dampak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positif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saja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835A66" w:rsidRPr="00835A66" w:rsidRDefault="00835A66" w:rsidP="00835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Menurut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kebiasaan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pasar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saham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BEJ, data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tentang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inflasi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terlalu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banyak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berpengaruh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Apalagi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deflasi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biasa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terjadi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bulan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Februari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setelah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inflasi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yang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tinggi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bulan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Desember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Januari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835A66" w:rsidRPr="00835A66" w:rsidRDefault="00835A66" w:rsidP="00835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Pengumuman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kepastian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mengenai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kenaikan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harga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BBM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juga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memberikan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kepastian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menurut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Budi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Ruseno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Direktur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Bhakti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Capital Indonesia,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memberikan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gambaran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kepada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para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emiten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untuk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membuat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perhitungan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bisnis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mereka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835A66" w:rsidRPr="00835A66" w:rsidRDefault="00835A66" w:rsidP="00835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6">
              <w:rPr>
                <w:rFonts w:ascii="Arial" w:eastAsia="Times New Roman" w:hAnsi="Arial" w:cs="Arial"/>
                <w:sz w:val="20"/>
                <w:szCs w:val="20"/>
              </w:rPr>
              <w:t>"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Justru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karena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ada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pengumuman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tersebut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kepastian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segera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muncul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Selama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ini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kenaikan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BBM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masih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belum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pasti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emiten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dapat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membuat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rencana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bisnisnya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,"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katanya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835A66" w:rsidRPr="00835A66" w:rsidRDefault="00835A66" w:rsidP="00835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Dia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menambahkan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kenaikan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indeks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setelah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pengumuman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kenaikan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harga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BBM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ini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mungkin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akan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bertahan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dua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sampai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tiga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hari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Setelah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itu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arah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pasar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akan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tergantung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pada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faktor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faktor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berita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yang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ada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835A66" w:rsidRPr="00835A66" w:rsidRDefault="00835A66" w:rsidP="00835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6">
              <w:rPr>
                <w:rFonts w:ascii="Arial" w:eastAsia="Times New Roman" w:hAnsi="Arial" w:cs="Arial"/>
                <w:sz w:val="20"/>
                <w:szCs w:val="20"/>
              </w:rPr>
              <w:t>"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Kalau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ada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faktor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negatif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akan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bertahan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Keluarnya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laporan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keuangan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dari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emiten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yang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lebih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baik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dari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tahun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2003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juga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akan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mendorong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indeks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Selain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itu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, rupiah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juga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tampaknya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stabil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meskipun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masih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berada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pada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level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Rp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9.200-</w:t>
            </w:r>
            <w:proofErr w:type="gram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an</w:t>
            </w:r>
            <w:proofErr w:type="gram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per dollar AS,"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lanjutnya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835A66" w:rsidRPr="00835A66" w:rsidRDefault="00835A66" w:rsidP="00835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Sama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seperti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Arianto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, Budi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juga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beranggapan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pengumuman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mengenai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deflasi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yang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terjadi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pada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Februari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ini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hanya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sedikit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memengaruhi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pasar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835A66" w:rsidRPr="00835A66" w:rsidRDefault="00835A66" w:rsidP="00835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6">
              <w:rPr>
                <w:rFonts w:ascii="Arial" w:eastAsia="Times New Roman" w:hAnsi="Arial" w:cs="Arial"/>
                <w:b/>
                <w:bCs/>
                <w:sz w:val="20"/>
              </w:rPr>
              <w:t xml:space="preserve">Lapis </w:t>
            </w:r>
            <w:proofErr w:type="spellStart"/>
            <w:r w:rsidRPr="00835A66">
              <w:rPr>
                <w:rFonts w:ascii="Arial" w:eastAsia="Times New Roman" w:hAnsi="Arial" w:cs="Arial"/>
                <w:b/>
                <w:bCs/>
                <w:sz w:val="20"/>
              </w:rPr>
              <w:t>ketiga</w:t>
            </w:r>
            <w:proofErr w:type="spellEnd"/>
          </w:p>
          <w:p w:rsidR="00835A66" w:rsidRPr="00835A66" w:rsidRDefault="00835A66" w:rsidP="00835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Hari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Rabu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ini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, IHSG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diperkirakan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masih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akan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meningkat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sekalipun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terbatas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Dalam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total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keseluruhan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pekan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ini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indeks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berpotensi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naik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sampai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posisi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sekitar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1.106-1.110.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Atau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jika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terpuruk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, paling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dalam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akan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sekitar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posisi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1.070.</w:t>
            </w:r>
          </w:p>
          <w:p w:rsidR="00835A66" w:rsidRPr="00835A66" w:rsidRDefault="00835A66" w:rsidP="00835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Kejutan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justru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mungkin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terjadi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pada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saham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lapis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ketiga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, yang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selama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ini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tergolong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saham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tidur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Namun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pemodal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sebaiknya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tetap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hati-hati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dengan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saham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lapis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ketiga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karena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kenaikannya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lebih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karena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sentimen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pasar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bukan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karena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fundamental. "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Secara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fundamental,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ada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yang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memang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bagus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kinerjanya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itu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yang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mesti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dilihat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pemodal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,"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katanya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835A66" w:rsidRPr="00835A66" w:rsidRDefault="00835A66" w:rsidP="00835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6">
              <w:rPr>
                <w:rFonts w:ascii="Arial" w:eastAsia="Times New Roman" w:hAnsi="Arial" w:cs="Arial"/>
                <w:b/>
                <w:bCs/>
                <w:sz w:val="20"/>
              </w:rPr>
              <w:t>Harga</w:t>
            </w:r>
            <w:proofErr w:type="spellEnd"/>
            <w:r w:rsidRPr="00835A66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b/>
                <w:bCs/>
                <w:sz w:val="20"/>
              </w:rPr>
              <w:t>wajar</w:t>
            </w:r>
            <w:proofErr w:type="spellEnd"/>
          </w:p>
          <w:p w:rsidR="00835A66" w:rsidRPr="00835A66" w:rsidRDefault="00835A66" w:rsidP="00835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Rata-rata,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saham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unggulan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BEJ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saat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ini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telah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mendekati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harga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wajar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Oleh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karena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itu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menurut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dia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saat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ini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masih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cukup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riskan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untuk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mengakumulasi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saham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Dengan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potensi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pertumbuhan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keuntungan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emiten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yang 15-20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persen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Arianto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memperkirakan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akhir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tahun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ini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IHSG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akan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mencapai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sekitar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level 1.150.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Oleh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karena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itu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sebelum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akhir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tahun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kecil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kemungkinan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mencapai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level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jauh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atas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angka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tersebut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835A66" w:rsidRPr="00835A66" w:rsidRDefault="00835A66" w:rsidP="00835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6">
              <w:rPr>
                <w:rFonts w:ascii="Arial" w:eastAsia="Times New Roman" w:hAnsi="Arial" w:cs="Arial"/>
                <w:sz w:val="20"/>
                <w:szCs w:val="20"/>
              </w:rPr>
              <w:t>"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Memang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bisa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atas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dari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perkiraan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tetapi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terlalu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jauh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Saham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sudah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mendekati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nilai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wajar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. Yang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bisa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kita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harapkan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untuk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mendorong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IHSG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tinggal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kinerja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2004 yang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lebih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bagus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dari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harapan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serta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dinaikkannya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peringkat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Indonesia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oleh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Moody’s,"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katanya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835A66" w:rsidRPr="00835A66" w:rsidRDefault="00835A66" w:rsidP="00835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Walau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indeks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melambung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melampaui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level 1.090,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namun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pemodal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asing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cukup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aktif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melakukan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aksi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jual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835A66" w:rsidRPr="00835A66" w:rsidRDefault="00835A66" w:rsidP="00835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Hal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itu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tercermin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dari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nilai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transaksi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jual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oleh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asing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yang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mencapai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Rp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990,890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miliar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Sedangkan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transaksi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beli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hanya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tercatat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sebesar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Rp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773,903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miliar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sehingga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terjadi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net selling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sebesar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Rp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216,987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miliar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835A66" w:rsidRPr="00835A66" w:rsidRDefault="00835A66" w:rsidP="00835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Sementara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itu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secara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umum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, volume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saham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yang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ditransaksikan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mencapai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2,224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miliar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lembar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saham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senilai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Rp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2,203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triliun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dengan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frekuensi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sebanyak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24.766 kali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transaksi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835A66" w:rsidRPr="00835A66" w:rsidRDefault="00835A66" w:rsidP="00835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Penguatan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IHSG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juga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mampu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mendorong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indeks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LQ 45 yang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memuat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45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saham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terlikuid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di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BEJ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ke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level 237,449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atau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naik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4,378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poin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 xml:space="preserve"> 1,878 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persen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. (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anv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joe</w:t>
            </w:r>
            <w:proofErr w:type="spellEnd"/>
            <w:r w:rsidRPr="00835A6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</w:tbl>
    <w:p w:rsidR="00835A66" w:rsidRPr="00835A66" w:rsidRDefault="00835A66" w:rsidP="00835A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3A7995" w:rsidRDefault="003A7995"/>
    <w:sectPr w:rsidR="003A7995" w:rsidSect="004D45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35A66"/>
    <w:rsid w:val="002614D6"/>
    <w:rsid w:val="003A7995"/>
    <w:rsid w:val="004D453A"/>
    <w:rsid w:val="005630A9"/>
    <w:rsid w:val="0083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5A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6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750</Words>
  <Characters>4276</Characters>
  <Application>Microsoft Office Word</Application>
  <DocSecurity>0</DocSecurity>
  <Lines>35</Lines>
  <Paragraphs>10</Paragraphs>
  <ScaleCrop>false</ScaleCrop>
  <Company>Home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2008-05-16T01:10:00Z</dcterms:created>
  <dcterms:modified xsi:type="dcterms:W3CDTF">2008-05-16T01:17:00Z</dcterms:modified>
</cp:coreProperties>
</file>