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EC8" w:rsidRPr="00F01EC8" w:rsidRDefault="00F01EC8" w:rsidP="00F01EC8">
      <w:pPr>
        <w:pBdr>
          <w:bottom w:val="single" w:sz="6" w:space="1" w:color="auto"/>
        </w:pBdr>
        <w:bidi w:val="0"/>
        <w:spacing w:after="0" w:line="240" w:lineRule="auto"/>
        <w:jc w:val="center"/>
        <w:rPr>
          <w:rFonts w:ascii="Arial" w:eastAsia="Times New Roman" w:hAnsi="Arial" w:cs="Arial"/>
          <w:vanish/>
          <w:sz w:val="16"/>
          <w:szCs w:val="16"/>
        </w:rPr>
      </w:pPr>
      <w:r w:rsidRPr="00F01EC8">
        <w:rPr>
          <w:rFonts w:ascii="Arial" w:eastAsia="Times New Roman" w:hAnsi="Arial" w:cs="Arial"/>
          <w:vanish/>
          <w:sz w:val="16"/>
          <w:szCs w:val="16"/>
        </w:rPr>
        <w:t>Top of Form</w:t>
      </w:r>
    </w:p>
    <w:tbl>
      <w:tblPr>
        <w:bidiVisual/>
        <w:tblW w:w="5000" w:type="pct"/>
        <w:jc w:val="center"/>
        <w:tblCellSpacing w:w="7" w:type="dxa"/>
        <w:tblCellMar>
          <w:top w:w="15" w:type="dxa"/>
          <w:left w:w="15" w:type="dxa"/>
          <w:bottom w:w="15" w:type="dxa"/>
          <w:right w:w="15" w:type="dxa"/>
        </w:tblCellMar>
        <w:tblLook w:val="04A0"/>
      </w:tblPr>
      <w:tblGrid>
        <w:gridCol w:w="8364"/>
      </w:tblGrid>
      <w:tr w:rsidR="00F01EC8" w:rsidRPr="00F01EC8">
        <w:trPr>
          <w:tblCellSpacing w:w="7" w:type="dxa"/>
          <w:jc w:val="center"/>
        </w:trPr>
        <w:tc>
          <w:tcPr>
            <w:tcW w:w="0" w:type="auto"/>
            <w:vAlign w:val="center"/>
            <w:hideMark/>
          </w:tcPr>
          <w:tbl>
            <w:tblPr>
              <w:bidiVisual/>
              <w:tblW w:w="5000" w:type="pct"/>
              <w:jc w:val="center"/>
              <w:tblBorders>
                <w:top w:val="outset" w:sz="6" w:space="0" w:color="B5CBCF"/>
                <w:left w:val="outset" w:sz="6" w:space="0" w:color="B5CBCF"/>
                <w:bottom w:val="outset" w:sz="6" w:space="0" w:color="B5CBCF"/>
                <w:right w:val="outset" w:sz="6" w:space="0" w:color="B5CBCF"/>
              </w:tblBorders>
              <w:tblCellMar>
                <w:top w:w="75" w:type="dxa"/>
                <w:left w:w="75" w:type="dxa"/>
                <w:bottom w:w="75" w:type="dxa"/>
                <w:right w:w="75" w:type="dxa"/>
              </w:tblCellMar>
              <w:tblLook w:val="04A0"/>
            </w:tblPr>
            <w:tblGrid>
              <w:gridCol w:w="8290"/>
            </w:tblGrid>
            <w:tr w:rsidR="00F01EC8" w:rsidRPr="00F01EC8" w:rsidTr="00F01EC8">
              <w:trPr>
                <w:jc w:val="center"/>
              </w:trPr>
              <w:tc>
                <w:tcPr>
                  <w:tcW w:w="0" w:type="auto"/>
                  <w:tcBorders>
                    <w:top w:val="outset" w:sz="6" w:space="0" w:color="B5CBCF"/>
                    <w:left w:val="outset" w:sz="6" w:space="0" w:color="B5CBCF"/>
                    <w:bottom w:val="outset" w:sz="6" w:space="0" w:color="B5CBCF"/>
                    <w:right w:val="outset" w:sz="6" w:space="0" w:color="B5CBCF"/>
                  </w:tcBorders>
                  <w:vAlign w:val="center"/>
                  <w:hideMark/>
                </w:tcPr>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Pr>
                  </w:pPr>
                  <w:r w:rsidRPr="00F01EC8">
                    <w:rPr>
                      <w:rFonts w:ascii="Times New Roman" w:eastAsia="Times New Roman" w:hAnsi="Times New Roman" w:cs="Times New Roman"/>
                      <w:b/>
                      <w:bCs/>
                      <w:sz w:val="24"/>
                      <w:szCs w:val="24"/>
                      <w:rtl/>
                    </w:rPr>
                    <w:t xml:space="preserve">الفصل السادس </w:t>
                  </w:r>
                  <w:r w:rsidRPr="00F01EC8">
                    <w:rPr>
                      <w:rFonts w:ascii="Times New Roman" w:eastAsia="Times New Roman" w:hAnsi="Times New Roman" w:cs="Times New Roman"/>
                      <w:b/>
                      <w:bCs/>
                      <w:sz w:val="24"/>
                      <w:szCs w:val="24"/>
                      <w:rtl/>
                    </w:rPr>
                    <w:br/>
                    <w:t xml:space="preserve">السندات والصكوك </w:t>
                  </w:r>
                  <w:r w:rsidRPr="00F01EC8">
                    <w:rPr>
                      <w:rFonts w:ascii="Times New Roman" w:eastAsia="Times New Roman" w:hAnsi="Times New Roman" w:cs="Times New Roman"/>
                      <w:b/>
                      <w:bCs/>
                      <w:sz w:val="24"/>
                      <w:szCs w:val="24"/>
                      <w:rtl/>
                    </w:rPr>
                    <w:br/>
                    <w:t xml:space="preserve">مادة (178)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يجوز للشركة أن تقترض في مقابل إصدار سندات قابلة للتداول، تعطي للمكتتبين لقاء المبالغ التي أقرضوها للشركة.</w:t>
                  </w:r>
                  <w:r w:rsidRPr="00F01EC8">
                    <w:rPr>
                      <w:rFonts w:ascii="Times New Roman" w:eastAsia="Times New Roman" w:hAnsi="Times New Roman" w:cs="Times New Roman"/>
                      <w:rtl/>
                    </w:rPr>
                    <w:br/>
                    <w:t xml:space="preserve">ويجوز للشركة وفقًا لأغراضها أن تصدر صكوكًا قابلة للتداول وفقًا لصيغ العقود التي تتوافق مع أحكام الشريعة الإسلامية. </w:t>
                  </w:r>
                  <w:r w:rsidRPr="00F01EC8">
                    <w:rPr>
                      <w:rFonts w:ascii="Times New Roman" w:eastAsia="Times New Roman" w:hAnsi="Times New Roman" w:cs="Times New Roman"/>
                      <w:rtl/>
                    </w:rPr>
                    <w:br/>
                    <w:t xml:space="preserve">تكون السندات أو الصكوك اسمية أو لحاملها وذات قيمة أو فئات واحدة في الإصدار، وتعطي السندات أو الصكوك من ذات الإصدار حقوقًا متساوية لمالكيها في مواجهة الشركة، ويقع باطلاً كل شرط على خلاف ذلك.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مادة (179)</w:t>
                  </w:r>
                  <w:r w:rsidRPr="00F01EC8">
                    <w:rPr>
                      <w:rFonts w:ascii="Times New Roman" w:eastAsia="Times New Roman" w:hAnsi="Times New Roman" w:cs="Times New Roman"/>
                      <w:b/>
                      <w:bCs/>
                      <w:sz w:val="24"/>
                      <w:szCs w:val="24"/>
                      <w:rtl/>
                    </w:rPr>
                    <w:br/>
                  </w:r>
                  <w:r w:rsidRPr="00F01EC8">
                    <w:rPr>
                      <w:rFonts w:ascii="Times New Roman" w:eastAsia="Times New Roman" w:hAnsi="Times New Roman" w:cs="Times New Roman" w:hint="cs"/>
                      <w:b/>
                      <w:bCs/>
                      <w:sz w:val="24"/>
                      <w:szCs w:val="24"/>
                      <w:rtl/>
                      <w:lang w:bidi="ar-EG"/>
                    </w:rPr>
                    <w:t>هذا النص وفقاً لآخر تعديل بموجب القانون رقم 97 لسنة 2013- للاطلاع على النص الأصلي</w:t>
                  </w:r>
                  <w:r w:rsidRPr="00F01EC8">
                    <w:rPr>
                      <w:rFonts w:ascii="Times New Roman" w:eastAsia="Times New Roman" w:hAnsi="Times New Roman" w:cs="Times New Roman"/>
                      <w:b/>
                      <w:bCs/>
                      <w:sz w:val="24"/>
                      <w:szCs w:val="24"/>
                      <w:rtl/>
                    </w:rPr>
                    <w:t xml:space="preserve">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تعطي السندات لمالكها الحق في استرداد مقدار دينه واستيفاء عائد محدد يدفع في آجال معينة، ويجوز للشركة إصدار سندات يكون العائد فيها نصيبًا من الأرباح السنوية التي تحققها الشركة.</w:t>
                  </w:r>
                  <w:r w:rsidRPr="00F01EC8">
                    <w:rPr>
                      <w:rFonts w:ascii="Times New Roman" w:eastAsia="Times New Roman" w:hAnsi="Times New Roman" w:cs="Times New Roman"/>
                      <w:rtl/>
                    </w:rPr>
                    <w:br/>
                    <w:t xml:space="preserve">وتعطي الصكوك لمالكها الحق في نصيبه من أرباح موجودات الصكوك وفي استرداد قيمة حصته من هذه الموجودات، ويجوز للشركة إصدار صكوك يكون العائد فيها نصيبًا من الأرباح السنوية التي تحققها الشركة وبما لا يخالف أحكام الشريعة الإسلامية.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مادة (180)</w:t>
                  </w:r>
                  <w:r w:rsidRPr="00F01EC8">
                    <w:rPr>
                      <w:rFonts w:ascii="Times New Roman" w:eastAsia="Times New Roman" w:hAnsi="Times New Roman" w:cs="Times New Roman"/>
                      <w:b/>
                      <w:bCs/>
                      <w:sz w:val="24"/>
                      <w:szCs w:val="24"/>
                      <w:rtl/>
                    </w:rPr>
                    <w:br/>
                  </w:r>
                  <w:r w:rsidRPr="00F01EC8">
                    <w:rPr>
                      <w:rFonts w:ascii="Times New Roman" w:eastAsia="Times New Roman" w:hAnsi="Times New Roman" w:cs="Times New Roman" w:hint="cs"/>
                      <w:b/>
                      <w:bCs/>
                      <w:sz w:val="24"/>
                      <w:szCs w:val="24"/>
                      <w:rtl/>
                      <w:lang w:bidi="ar-EG"/>
                    </w:rPr>
                    <w:t>هذا النص وفقاً لآخر تعديل بموجب القانون رقم 97 لسنة 2013- للاطلاع على النص الأصلي</w:t>
                  </w:r>
                  <w:r w:rsidRPr="00F01EC8">
                    <w:rPr>
                      <w:rFonts w:ascii="Times New Roman" w:eastAsia="Times New Roman" w:hAnsi="Times New Roman" w:cs="Times New Roman"/>
                      <w:b/>
                      <w:bCs/>
                      <w:sz w:val="24"/>
                      <w:szCs w:val="24"/>
                      <w:rtl/>
                    </w:rPr>
                    <w:t xml:space="preserve">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لا يجوز للشركة إصدار سندات أو صكوك إلا بعد استيفاء الشروط التالية:</w:t>
                  </w:r>
                  <w:r w:rsidRPr="00F01EC8">
                    <w:rPr>
                      <w:rFonts w:ascii="Times New Roman" w:eastAsia="Times New Roman" w:hAnsi="Times New Roman" w:cs="Times New Roman"/>
                      <w:rtl/>
                    </w:rPr>
                    <w:br/>
                    <w:t>1- أن يكون قد تم دفع رأس مال الشركة المصدر كاملاً.</w:t>
                  </w:r>
                  <w:r w:rsidRPr="00F01EC8">
                    <w:rPr>
                      <w:rFonts w:ascii="Times New Roman" w:eastAsia="Times New Roman" w:hAnsi="Times New Roman" w:cs="Times New Roman"/>
                      <w:rtl/>
                    </w:rPr>
                    <w:br/>
                    <w:t>2- أن يصدر عن الجمعية العامة العادية قرار بإصدار السندات أو الصكوك.</w:t>
                  </w:r>
                  <w:r w:rsidRPr="00F01EC8">
                    <w:rPr>
                      <w:rFonts w:ascii="Times New Roman" w:eastAsia="Times New Roman" w:hAnsi="Times New Roman" w:cs="Times New Roman"/>
                      <w:rtl/>
                    </w:rPr>
                    <w:br/>
                    <w:t xml:space="preserve">3- أن يصدر قرار عن الهيئة بالموافقة على إصدار السندات أو الصكوك، ويجب الحصول على موافقة بنك الكويت المركزي بالنسبة للسندات أو الصكوك التي تصدر عن البنوك والشركات الخاضعة لرقابة بنك الكويت المركزي، ويجوز للهيئة أو البنك المركزي أن تحدد القدر التي تصدر به السندات أو الصكوك عن شركة معينة، وبالنسبة لإصدار معين، وفي حالة عدم الموافقة يجب أن يكون القرار مسببًا.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(181) </w:t>
                  </w:r>
                  <w:r w:rsidRPr="00F01EC8">
                    <w:rPr>
                      <w:rFonts w:ascii="Times New Roman" w:eastAsia="Times New Roman" w:hAnsi="Times New Roman" w:cs="Times New Roman"/>
                      <w:b/>
                      <w:bCs/>
                      <w:sz w:val="24"/>
                      <w:szCs w:val="24"/>
                      <w:rtl/>
                    </w:rPr>
                    <w:br/>
                  </w:r>
                  <w:r w:rsidRPr="00F01EC8">
                    <w:rPr>
                      <w:rFonts w:ascii="Times New Roman" w:eastAsia="Times New Roman" w:hAnsi="Times New Roman" w:cs="Times New Roman" w:hint="cs"/>
                      <w:b/>
                      <w:bCs/>
                      <w:sz w:val="24"/>
                      <w:szCs w:val="24"/>
                      <w:rtl/>
                      <w:lang w:bidi="ar-EG"/>
                    </w:rPr>
                    <w:t>هذا النص وفقاً لآخر تعديل بموجب القانون رقم 97 لسنة 2013- للاطلاع على النص الأصلي</w:t>
                  </w:r>
                  <w:r w:rsidRPr="00F01EC8">
                    <w:rPr>
                      <w:rFonts w:ascii="Times New Roman" w:eastAsia="Times New Roman" w:hAnsi="Times New Roman" w:cs="Times New Roman"/>
                      <w:b/>
                      <w:bCs/>
                      <w:sz w:val="24"/>
                      <w:szCs w:val="24"/>
                      <w:rtl/>
                    </w:rPr>
                    <w:t xml:space="preserve">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يجب ألا يجاوز مجموع قيمة السندات أو الصكوك التي تصدرها الشركة رأس المال المصدر والمدفوع بالكامل، والاحتياطيات غير القابلة للتوزيع وفقًا لآخر بيانات مالية معتمدة.</w:t>
                  </w:r>
                  <w:r w:rsidRPr="00F01EC8">
                    <w:rPr>
                      <w:rFonts w:ascii="Times New Roman" w:eastAsia="Times New Roman" w:hAnsi="Times New Roman" w:cs="Times New Roman"/>
                      <w:rtl/>
                    </w:rPr>
                    <w:br/>
                    <w:t xml:space="preserve">ويستثنى من ذلك السندات أو الصكوك المضمونة من الدولة أو من إحدى الهيئات أو المؤسسات العامة، التي تصدرها البنوك وشركات التمويل.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مادة (182)</w:t>
                  </w:r>
                  <w:r w:rsidRPr="00F01EC8">
                    <w:rPr>
                      <w:rFonts w:ascii="Times New Roman" w:eastAsia="Times New Roman" w:hAnsi="Times New Roman" w:cs="Times New Roman"/>
                      <w:b/>
                      <w:bCs/>
                      <w:sz w:val="24"/>
                      <w:szCs w:val="24"/>
                      <w:rtl/>
                    </w:rPr>
                    <w:br/>
                  </w:r>
                  <w:r w:rsidRPr="00F01EC8">
                    <w:rPr>
                      <w:rFonts w:ascii="Times New Roman" w:eastAsia="Times New Roman" w:hAnsi="Times New Roman" w:cs="Times New Roman" w:hint="cs"/>
                      <w:b/>
                      <w:bCs/>
                      <w:sz w:val="24"/>
                      <w:szCs w:val="24"/>
                      <w:rtl/>
                      <w:lang w:bidi="ar-EG"/>
                    </w:rPr>
                    <w:t>هذا النص وفقاً لآخر تعديل بموجب القانون رقم 97 لسنة 2013- للاطلاع على النص الأصلي</w:t>
                  </w:r>
                  <w:r w:rsidRPr="00F01EC8">
                    <w:rPr>
                      <w:rFonts w:ascii="Times New Roman" w:eastAsia="Times New Roman" w:hAnsi="Times New Roman" w:cs="Times New Roman"/>
                      <w:b/>
                      <w:bCs/>
                      <w:sz w:val="24"/>
                      <w:szCs w:val="24"/>
                      <w:rtl/>
                    </w:rPr>
                    <w:t xml:space="preserve">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للشركة أن تغطي قيمة السندات أو الصكوك بإحدى الوسيلتين التاليتين:</w:t>
                  </w:r>
                  <w:r w:rsidRPr="00F01EC8">
                    <w:rPr>
                      <w:rFonts w:ascii="Times New Roman" w:eastAsia="Times New Roman" w:hAnsi="Times New Roman" w:cs="Times New Roman"/>
                      <w:rtl/>
                    </w:rPr>
                    <w:br/>
                    <w:t>1- طرح السندات أو الصكوك في اكتتاب عام أو خاص.</w:t>
                  </w:r>
                  <w:r w:rsidRPr="00F01EC8">
                    <w:rPr>
                      <w:rFonts w:ascii="Times New Roman" w:eastAsia="Times New Roman" w:hAnsi="Times New Roman" w:cs="Times New Roman"/>
                      <w:rtl/>
                    </w:rPr>
                    <w:br/>
                    <w:t>2- بيع السندات أو الصكوك عن طريق البنوك أو شركات الاستثمار أو متعهدي الاكتتاب.</w:t>
                  </w:r>
                  <w:r w:rsidRPr="00F01EC8">
                    <w:rPr>
                      <w:rFonts w:ascii="Times New Roman" w:eastAsia="Times New Roman" w:hAnsi="Times New Roman" w:cs="Times New Roman"/>
                      <w:rtl/>
                    </w:rPr>
                    <w:br/>
                    <w:t xml:space="preserve">وذلك كله طبقًا للقواعد والإجراءات والشروط الواردة بنشرة الاكتتاب.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مادة (183)</w:t>
                  </w:r>
                  <w:r w:rsidRPr="00F01EC8">
                    <w:rPr>
                      <w:rFonts w:ascii="Times New Roman" w:eastAsia="Times New Roman" w:hAnsi="Times New Roman" w:cs="Times New Roman"/>
                      <w:b/>
                      <w:bCs/>
                      <w:sz w:val="24"/>
                      <w:szCs w:val="24"/>
                      <w:rtl/>
                    </w:rPr>
                    <w:br/>
                  </w:r>
                  <w:r w:rsidRPr="00F01EC8">
                    <w:rPr>
                      <w:rFonts w:ascii="Times New Roman" w:eastAsia="Times New Roman" w:hAnsi="Times New Roman" w:cs="Times New Roman" w:hint="cs"/>
                      <w:b/>
                      <w:bCs/>
                      <w:sz w:val="24"/>
                      <w:szCs w:val="24"/>
                      <w:rtl/>
                      <w:lang w:bidi="ar-EG"/>
                    </w:rPr>
                    <w:t>هذا النص وفقاً لآخر تعديل بموجب القانون رقم 97 لسنة 2013- للاطلاع على النص الأصلي</w:t>
                  </w:r>
                  <w:r w:rsidRPr="00F01EC8">
                    <w:rPr>
                      <w:rFonts w:ascii="Times New Roman" w:eastAsia="Times New Roman" w:hAnsi="Times New Roman" w:cs="Times New Roman"/>
                      <w:b/>
                      <w:bCs/>
                      <w:sz w:val="24"/>
                      <w:szCs w:val="24"/>
                      <w:rtl/>
                    </w:rPr>
                    <w:t xml:space="preserve">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تكون الدعوة للاكتتاب في السندات أو الصكوك بناءً على نشرة اكتتاب مستوفاة البيانات والإجراءات المنصوص عليها في القانون رقم (7) لسنة 2010.</w:t>
                  </w:r>
                  <w:r w:rsidRPr="00F01EC8">
                    <w:rPr>
                      <w:rFonts w:ascii="Times New Roman" w:eastAsia="Times New Roman" w:hAnsi="Times New Roman" w:cs="Times New Roman"/>
                      <w:rtl/>
                    </w:rPr>
                    <w:br/>
                  </w:r>
                  <w:r w:rsidRPr="00F01EC8">
                    <w:rPr>
                      <w:rFonts w:ascii="Times New Roman" w:eastAsia="Times New Roman" w:hAnsi="Times New Roman" w:cs="Times New Roman"/>
                      <w:rtl/>
                    </w:rPr>
                    <w:lastRenderedPageBreak/>
                    <w:t>وإذا تمت تغطية خمسين بالمائة أو أكثر من السندات أو الصكوك المطروحة للاكتتاب خلال المدة المحددة أو أية مدة أخرى يتقرر مد الاكتتاب إليها، جاز اعتبار الاكتتاب قد تم، ما لم تقرر الجمعية العامة الرجوع عن إصدار السندات أو الصكوك ورد الأموال للمكتتبين وعوائدها إن وجدت.</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(184)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 xml:space="preserve">يجب أن تُذكر في إيصالات إيداع السندات أو الصكوك البيانات التالية: </w:t>
                  </w:r>
                  <w:r w:rsidRPr="00F01EC8">
                    <w:rPr>
                      <w:rFonts w:ascii="Times New Roman" w:eastAsia="Times New Roman" w:hAnsi="Times New Roman" w:cs="Times New Roman"/>
                      <w:rtl/>
                    </w:rPr>
                    <w:br/>
                    <w:t xml:space="preserve">1- اسم الشركة المصدرة ورقم قيدها في السجل التجاري وعنوان مركزها الرئيسي. </w:t>
                  </w:r>
                  <w:r w:rsidRPr="00F01EC8">
                    <w:rPr>
                      <w:rFonts w:ascii="Times New Roman" w:eastAsia="Times New Roman" w:hAnsi="Times New Roman" w:cs="Times New Roman"/>
                      <w:rtl/>
                    </w:rPr>
                    <w:br/>
                    <w:t xml:space="preserve">2- رأس مال الشركة. </w:t>
                  </w:r>
                  <w:r w:rsidRPr="00F01EC8">
                    <w:rPr>
                      <w:rFonts w:ascii="Times New Roman" w:eastAsia="Times New Roman" w:hAnsi="Times New Roman" w:cs="Times New Roman"/>
                      <w:rtl/>
                    </w:rPr>
                    <w:br/>
                    <w:t xml:space="preserve">3- المبلغ الكلي للسندات أو الصكوك. </w:t>
                  </w:r>
                  <w:r w:rsidRPr="00F01EC8">
                    <w:rPr>
                      <w:rFonts w:ascii="Times New Roman" w:eastAsia="Times New Roman" w:hAnsi="Times New Roman" w:cs="Times New Roman"/>
                      <w:rtl/>
                    </w:rPr>
                    <w:br/>
                    <w:t xml:space="preserve">4- اسم مالك السند أو الصك إذا كانت السندات اسمية. </w:t>
                  </w:r>
                  <w:r w:rsidRPr="00F01EC8">
                    <w:rPr>
                      <w:rFonts w:ascii="Times New Roman" w:eastAsia="Times New Roman" w:hAnsi="Times New Roman" w:cs="Times New Roman"/>
                      <w:rtl/>
                    </w:rPr>
                    <w:br/>
                    <w:t xml:space="preserve">5- القيمة الاسمية للسند أو الصك ورقمه. </w:t>
                  </w:r>
                  <w:r w:rsidRPr="00F01EC8">
                    <w:rPr>
                      <w:rFonts w:ascii="Times New Roman" w:eastAsia="Times New Roman" w:hAnsi="Times New Roman" w:cs="Times New Roman"/>
                      <w:rtl/>
                    </w:rPr>
                    <w:br/>
                    <w:t xml:space="preserve">6- سعر العائد والمواعيد المحددة لأدائه، أو الحصة السنوية المقررة للسند أو الصك من أرباح الشركة. </w:t>
                  </w:r>
                  <w:r w:rsidRPr="00F01EC8">
                    <w:rPr>
                      <w:rFonts w:ascii="Times New Roman" w:eastAsia="Times New Roman" w:hAnsi="Times New Roman" w:cs="Times New Roman"/>
                      <w:rtl/>
                    </w:rPr>
                    <w:br/>
                    <w:t xml:space="preserve">7- الضمانات المقدمة ضمانًا للسند أو الصك إن وجدت. </w:t>
                  </w:r>
                  <w:r w:rsidRPr="00F01EC8">
                    <w:rPr>
                      <w:rFonts w:ascii="Times New Roman" w:eastAsia="Times New Roman" w:hAnsi="Times New Roman" w:cs="Times New Roman"/>
                      <w:rtl/>
                    </w:rPr>
                    <w:br/>
                    <w:t xml:space="preserve">8- شروط ومواعيد استهلاك السندات أو الصكوك. </w:t>
                  </w:r>
                  <w:r w:rsidRPr="00F01EC8">
                    <w:rPr>
                      <w:rFonts w:ascii="Times New Roman" w:eastAsia="Times New Roman" w:hAnsi="Times New Roman" w:cs="Times New Roman"/>
                      <w:rtl/>
                    </w:rPr>
                    <w:br/>
                    <w:t xml:space="preserve">9- إذا كانت السندات أو الصكوك قابلة للتحويل إلى أسهم تذكر المواعيد المقررة لاستعمال مالك السند أو الصك لحقه في التحويل والأسس والشروط التي يتم التحويل بمقتضاها.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(185)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 xml:space="preserve">في حالة مخالفة الشروط أو الإجراءات المقررة في هذا القانون بشأن إصدار السندات أو الصكوك والاكتتاب فيها يكون لكل ذي شأن أن يطلب من المحكمة إبطال الاكتتاب وإلزام الشركة برد قيمة السندات أو الصكوك وعوائدها إن وجدت، فضلاً عن المطالبة بالتعويض عما يكون قد لحقه من ضرر.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(186)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 xml:space="preserve">يجوز للشركة أن تصدر سندات يكتتب فيها بأقل من قيمتها الاسمية، وتلتزم الشركة بالوفاء بالقيمة الاسمية للسند وبحساب العوائد المقررة على أساس هذه القيمة للمكتتب. </w:t>
                  </w:r>
                  <w:r w:rsidRPr="00F01EC8">
                    <w:rPr>
                      <w:rFonts w:ascii="Times New Roman" w:eastAsia="Times New Roman" w:hAnsi="Times New Roman" w:cs="Times New Roman"/>
                      <w:rtl/>
                    </w:rPr>
                    <w:br/>
                    <w:t xml:space="preserve">يجب أن تصدر الصكوك بجميع أنواعها طبقًا لأحكام الشريعة الإسلامية، ويجب أن توافق عليها هيئة رقابة شرعية. </w:t>
                  </w:r>
                  <w:r w:rsidRPr="00F01EC8">
                    <w:rPr>
                      <w:rFonts w:ascii="Times New Roman" w:eastAsia="Times New Roman" w:hAnsi="Times New Roman" w:cs="Times New Roman"/>
                      <w:rtl/>
                    </w:rPr>
                    <w:br/>
                    <w:t xml:space="preserve">وتصدر الصكوك استنادًا إلى عقد بملكية موجودات مؤجرة أو ملكية منافع أو السلم أو الاستصناع أو المشاركة أو المرابحة أو ملكية منافع الأعيان والخدمات الموصوفة في الذمة، أو غيرها. </w:t>
                  </w:r>
                  <w:r w:rsidRPr="00F01EC8">
                    <w:rPr>
                      <w:rFonts w:ascii="Times New Roman" w:eastAsia="Times New Roman" w:hAnsi="Times New Roman" w:cs="Times New Roman"/>
                      <w:rtl/>
                    </w:rPr>
                    <w:br/>
                    <w:t xml:space="preserve">وتضع الهيئة الأحكام الخاصة بكل نوع من أنواع الصكوك، والأحكام التي تخضع لها موجودات الصكوك وكيفية تملكها وإدارتها وتصفيتها وتوزيع ناتج التصفية، والرقابة والتفتيش على الجهات التي تدير موجودات الصكوك والتزاماتها فيما يتعلق بالإفصاح وسياسة المخاطر، وغير ذلك من التزامات. </w:t>
                  </w:r>
                  <w:r w:rsidRPr="00F01EC8">
                    <w:rPr>
                      <w:rFonts w:ascii="Times New Roman" w:eastAsia="Times New Roman" w:hAnsi="Times New Roman" w:cs="Times New Roman"/>
                      <w:rtl/>
                    </w:rPr>
                    <w:br/>
                    <w:t xml:space="preserve">وتعفى من الرسوم عمليات تحويل الأصول اللازمة لإصدار الصكوك.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مادة (187)</w:t>
                  </w:r>
                  <w:r w:rsidRPr="00F01EC8">
                    <w:rPr>
                      <w:rFonts w:ascii="Times New Roman" w:eastAsia="Times New Roman" w:hAnsi="Times New Roman" w:cs="Times New Roman"/>
                      <w:b/>
                      <w:bCs/>
                      <w:sz w:val="24"/>
                      <w:szCs w:val="24"/>
                      <w:rtl/>
                    </w:rPr>
                    <w:br/>
                  </w:r>
                  <w:r w:rsidRPr="00F01EC8">
                    <w:rPr>
                      <w:rFonts w:ascii="Times New Roman" w:eastAsia="Times New Roman" w:hAnsi="Times New Roman" w:cs="Times New Roman" w:hint="cs"/>
                      <w:b/>
                      <w:bCs/>
                      <w:sz w:val="24"/>
                      <w:szCs w:val="24"/>
                      <w:rtl/>
                      <w:lang w:bidi="ar-EG"/>
                    </w:rPr>
                    <w:t>هذا النص وفقاً لآخر تعديل بموجب القانون رقم 97 لسنة 2013- للاطلاع على النص الأصلي</w:t>
                  </w:r>
                  <w:r w:rsidRPr="00F01EC8">
                    <w:rPr>
                      <w:rFonts w:ascii="Times New Roman" w:eastAsia="Times New Roman" w:hAnsi="Times New Roman" w:cs="Times New Roman"/>
                      <w:b/>
                      <w:bCs/>
                      <w:sz w:val="24"/>
                      <w:szCs w:val="24"/>
                      <w:rtl/>
                    </w:rPr>
                    <w:t xml:space="preserve">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للشركة أن تصدر سندات أو صكوك قابلة للتحويل إلى أسهم بقرار يصدر من الجمعية العامة العادية –بناء على اقتراح مسبب من مجلس الإدارة– وذلك وفقًا للضوابط والأحكام التالية:</w:t>
                  </w:r>
                  <w:r w:rsidRPr="00F01EC8">
                    <w:rPr>
                      <w:rFonts w:ascii="Times New Roman" w:eastAsia="Times New Roman" w:hAnsi="Times New Roman" w:cs="Times New Roman"/>
                      <w:rtl/>
                    </w:rPr>
                    <w:br/>
                    <w:t>1- تحديد القواعد التي يتم على أساسها تحويل السندات أو الصكوك إلى أسهم، وعلى وجه الخصوص قيمة السهم التي يتم على أساسها التحويل.</w:t>
                  </w:r>
                  <w:r w:rsidRPr="00F01EC8">
                    <w:rPr>
                      <w:rFonts w:ascii="Times New Roman" w:eastAsia="Times New Roman" w:hAnsi="Times New Roman" w:cs="Times New Roman"/>
                      <w:rtl/>
                    </w:rPr>
                    <w:br/>
                    <w:t>2- ألا يقل سعر إصدار السند أو الصك عن القيمة الاسمية للسهم.</w:t>
                  </w:r>
                  <w:r w:rsidRPr="00F01EC8">
                    <w:rPr>
                      <w:rFonts w:ascii="Times New Roman" w:eastAsia="Times New Roman" w:hAnsi="Times New Roman" w:cs="Times New Roman"/>
                      <w:rtl/>
                    </w:rPr>
                    <w:br/>
                    <w:t>3- ألا تجاوز قيمة السندات أو الصكوك التي يتم تحويلها إلى أسهم –بالإضافة إلى قيمة أسهم الشركة– مقدار رأس المال المصرح به.</w:t>
                  </w:r>
                  <w:r w:rsidRPr="00F01EC8">
                    <w:rPr>
                      <w:rFonts w:ascii="Times New Roman" w:eastAsia="Times New Roman" w:hAnsi="Times New Roman" w:cs="Times New Roman"/>
                      <w:rtl/>
                    </w:rPr>
                    <w:br/>
                    <w:t>4- المدة التي يجوز خلالها طلب تحويل السندات أو الصكوك إلى أسهم.</w:t>
                  </w:r>
                  <w:r w:rsidRPr="00F01EC8">
                    <w:rPr>
                      <w:rFonts w:ascii="Times New Roman" w:eastAsia="Times New Roman" w:hAnsi="Times New Roman" w:cs="Times New Roman"/>
                      <w:rtl/>
                    </w:rPr>
                    <w:br/>
                    <w:t>5- حق مالك السندات أو الصكوك في استرداد قيمتها إذا لم يرغب في تحويلها إلى أسهم.</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(188)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 xml:space="preserve">يكون لمساهمي الشركة حق الأولوية في الاكتتاب في السندات أو الصكوك القابلة للتحويل إلى أسهم إذا أبدوا رغبتهم في </w:t>
                  </w:r>
                  <w:r w:rsidRPr="00F01EC8">
                    <w:rPr>
                      <w:rFonts w:ascii="Times New Roman" w:eastAsia="Times New Roman" w:hAnsi="Times New Roman" w:cs="Times New Roman"/>
                      <w:rtl/>
                    </w:rPr>
                    <w:lastRenderedPageBreak/>
                    <w:t xml:space="preserve">ذلك خلال مدة لا تجاوز خمسة عشر يومًا من تاريخ دعوتهم لاستعمال هذا الحق، ويجوز للمساهم أن يستعمل حقه في أولوية الاكتتاب في هذه السندات أو الصكوك بما يجاوز نسبة مساهمته في رأس مال الشركة إذا كانت شروط الاكتتاب تسمح بذلك.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مادة (189)</w:t>
                  </w:r>
                  <w:r w:rsidRPr="00F01EC8">
                    <w:rPr>
                      <w:rFonts w:ascii="Times New Roman" w:eastAsia="Times New Roman" w:hAnsi="Times New Roman" w:cs="Times New Roman"/>
                      <w:b/>
                      <w:bCs/>
                      <w:sz w:val="24"/>
                      <w:szCs w:val="24"/>
                      <w:rtl/>
                    </w:rPr>
                    <w:br/>
                  </w:r>
                  <w:r w:rsidRPr="00F01EC8">
                    <w:rPr>
                      <w:rFonts w:ascii="Times New Roman" w:eastAsia="Times New Roman" w:hAnsi="Times New Roman" w:cs="Times New Roman" w:hint="cs"/>
                      <w:b/>
                      <w:bCs/>
                      <w:sz w:val="24"/>
                      <w:szCs w:val="24"/>
                      <w:rtl/>
                      <w:lang w:bidi="ar-EG"/>
                    </w:rPr>
                    <w:t>هذا النص وفقاً لآخر تعديل بموجب القانون رقم 97 لسنة 2013- للاطلاع على النص الأصلي</w:t>
                  </w:r>
                  <w:r w:rsidRPr="00F01EC8">
                    <w:rPr>
                      <w:rFonts w:ascii="Times New Roman" w:eastAsia="Times New Roman" w:hAnsi="Times New Roman" w:cs="Times New Roman"/>
                      <w:b/>
                      <w:bCs/>
                      <w:sz w:val="24"/>
                      <w:szCs w:val="24"/>
                      <w:rtl/>
                    </w:rPr>
                    <w:t xml:space="preserve">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على مالكي السندات والصكوك الذين يرغبون في تحويلها إلى أسهم، إبداء رغبتهم خلال المدة المنصوص عليها في قرار إصدار السندات أو الصكوك والمبينة في نشرة الاكتتاب، ويتم تحويل السندات أو الصكوك إلى أسهم وفقًا للأسس والشروط التي صدر بها قرار الجمعية العامة والمعلنة في نشرة الاكتتاب، وتقوم الشركة بالوفاء بقيمة السندات أو الصكوك التي لا يرغب أصحابها في تحويلها إلى أسهم عند تاريخ الاستحقاق.</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مادة (190)</w:t>
                  </w:r>
                  <w:r w:rsidRPr="00F01EC8">
                    <w:rPr>
                      <w:rFonts w:ascii="Times New Roman" w:eastAsia="Times New Roman" w:hAnsi="Times New Roman" w:cs="Times New Roman"/>
                      <w:b/>
                      <w:bCs/>
                      <w:sz w:val="24"/>
                      <w:szCs w:val="24"/>
                      <w:rtl/>
                    </w:rPr>
                    <w:br/>
                  </w:r>
                  <w:r w:rsidRPr="00F01EC8">
                    <w:rPr>
                      <w:rFonts w:ascii="Times New Roman" w:eastAsia="Times New Roman" w:hAnsi="Times New Roman" w:cs="Times New Roman" w:hint="cs"/>
                      <w:b/>
                      <w:bCs/>
                      <w:sz w:val="24"/>
                      <w:szCs w:val="24"/>
                      <w:rtl/>
                      <w:lang w:bidi="ar-EG"/>
                    </w:rPr>
                    <w:t>هذا النص وفقاً لآخر تعديل بموجب القانون رقم 97 لسنة 2013- للاطلاع على النص الأصلي</w:t>
                  </w:r>
                  <w:r w:rsidRPr="00F01EC8">
                    <w:rPr>
                      <w:rFonts w:ascii="Times New Roman" w:eastAsia="Times New Roman" w:hAnsi="Times New Roman" w:cs="Times New Roman"/>
                      <w:b/>
                      <w:bCs/>
                      <w:sz w:val="24"/>
                      <w:szCs w:val="24"/>
                      <w:rtl/>
                    </w:rPr>
                    <w:t xml:space="preserve">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لا يجوز للشركة –بعد صدور قرار الجمعية العامة غير العادية بإصدار سندات أو صكوك قابلة للتحويل إلى أسهم وحتى تاريخ تحويلها أو تسديد قيمتها– أن توزع أسهمًا مجانيةً أو أرباحًا من الاحتياطي، أو تصدر سندات أو صكوك قابلة للتحويل إلى أسهم، إلا بعد الحصول على موافقة هيئة حاملي السندات أو الصكوك.</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مادة (191)</w:t>
                  </w:r>
                  <w:r w:rsidRPr="00F01EC8">
                    <w:rPr>
                      <w:rFonts w:ascii="Times New Roman" w:eastAsia="Times New Roman" w:hAnsi="Times New Roman" w:cs="Times New Roman"/>
                      <w:b/>
                      <w:bCs/>
                      <w:sz w:val="24"/>
                      <w:szCs w:val="24"/>
                      <w:rtl/>
                    </w:rPr>
                    <w:br/>
                  </w:r>
                  <w:r w:rsidRPr="00F01EC8">
                    <w:rPr>
                      <w:rFonts w:ascii="Times New Roman" w:eastAsia="Times New Roman" w:hAnsi="Times New Roman" w:cs="Times New Roman" w:hint="cs"/>
                      <w:b/>
                      <w:bCs/>
                      <w:sz w:val="24"/>
                      <w:szCs w:val="24"/>
                      <w:rtl/>
                      <w:lang w:bidi="ar-EG"/>
                    </w:rPr>
                    <w:t>هذا النص وفقاً لآخر تعديل بموجب القانون رقم 97 لسنة 2013- للاطلاع على النص الأصلي</w:t>
                  </w:r>
                  <w:r w:rsidRPr="00F01EC8">
                    <w:rPr>
                      <w:rFonts w:ascii="Times New Roman" w:eastAsia="Times New Roman" w:hAnsi="Times New Roman" w:cs="Times New Roman"/>
                      <w:b/>
                      <w:bCs/>
                      <w:sz w:val="24"/>
                      <w:szCs w:val="24"/>
                      <w:rtl/>
                    </w:rPr>
                    <w:t xml:space="preserve">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 xml:space="preserve">إذا كان قرار الجمعية العامة بإصدار السندات أو الصكوك الجديدة القابلة للتحويل لأسهم يتضمن إلغاء أولوية المساهمين في الاكتتاب، فإنه يتعين موافقة هيئة حاملي السندات أو الصكوك المصدرة قبل هذا القرار.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(192) </w:t>
                  </w:r>
                  <w:r w:rsidRPr="00F01EC8">
                    <w:rPr>
                      <w:rFonts w:ascii="Times New Roman" w:eastAsia="Times New Roman" w:hAnsi="Times New Roman" w:cs="Times New Roman"/>
                      <w:b/>
                      <w:bCs/>
                      <w:sz w:val="24"/>
                      <w:szCs w:val="24"/>
                      <w:rtl/>
                    </w:rPr>
                    <w:br/>
                  </w:r>
                  <w:r w:rsidRPr="00F01EC8">
                    <w:rPr>
                      <w:rFonts w:ascii="Times New Roman" w:eastAsia="Times New Roman" w:hAnsi="Times New Roman" w:cs="Times New Roman" w:hint="cs"/>
                      <w:b/>
                      <w:bCs/>
                      <w:sz w:val="24"/>
                      <w:szCs w:val="24"/>
                      <w:rtl/>
                      <w:lang w:bidi="ar-EG"/>
                    </w:rPr>
                    <w:t>هذا النص وفقاً لآخر تعديل بموجب القانون رقم 97 لسنة 2013- للاطلاع على النص الأصلي</w:t>
                  </w:r>
                  <w:r w:rsidRPr="00F01EC8">
                    <w:rPr>
                      <w:rFonts w:ascii="Times New Roman" w:eastAsia="Times New Roman" w:hAnsi="Times New Roman" w:cs="Times New Roman"/>
                      <w:b/>
                      <w:bCs/>
                      <w:sz w:val="24"/>
                      <w:szCs w:val="24"/>
                      <w:rtl/>
                    </w:rPr>
                    <w:t xml:space="preserve">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لا يجوز للشركة –بعد صدور قرار من الجمعية العامة العادية بإصدار سندات أو صكوك قابلة للتحويل إلى أسهم وحتى تاريخ تحويلها أو تسديد قيمتها– أن تخفض رأسمالها أو تزيد من النسبة المقرر توزيعها كحد أدنى من الأرباح على المساهمين، ويستثنى من ذلك تخفيض رأس مال الشركة بسبب الخسائر، ويتعين في هذه الحالة تخفيض حقوق حملة السندات أو الصكوك في تحويلها إلى أسهم بقدر النسبة التي تقرر بها تخفيض رأس المال، وذلك دون حاجة إلى موافقة هيئة حاملي السندات أو الصكوك.</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(193)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 xml:space="preserve">يكون للأسهم التي يحصل عليها حملة السندات أو الصكوك، بسبب تحويل سنداتهم أو صكوكهم، نصيب في الأرباح التي يتقرر توزيعها عن السنة المالية التي جرى خلالها التحويل.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(194)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 xml:space="preserve">يجوز للشركة إصدار سندات أو صكوك يكون لحامليها أولوية الاكتتاب في أية زيادة في رأس المال، ويتم ذلك لمن يرغب خلال مدة لا تجاوز خمسة عشر يومًا من تاريخ إعلان حاملي السندات أو الصكوك بذلك، ويقتصر حق الأولوية على الاكتتاب في أسهم لا تزيد قيمتها الاسمية على قيمة السندات أو الصكوك التي يملكها مَنْ يستعمل هذا الحق.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(195)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 xml:space="preserve">إذا أصدرت الشركة سندات أو صكوك مضمونة برهن على أموالها أو غير ذلك من الضمانات، وجب إتمام الإجراءات القانونية الخاصة بالرهن أو الضمان لصالح هيئة حاملي السندات أو الصكوك أو أمين استثمار يمثلها، وذلك قبل طرح السندات أو الصكوك للاكتتاب، وتتولى الشركة القيام بهذه الإجراءات أو تقوم بها الجهة التي قدمت الضمان. </w:t>
                  </w:r>
                  <w:r w:rsidRPr="00F01EC8">
                    <w:rPr>
                      <w:rFonts w:ascii="Times New Roman" w:eastAsia="Times New Roman" w:hAnsi="Times New Roman" w:cs="Times New Roman"/>
                      <w:rtl/>
                    </w:rPr>
                    <w:br/>
                    <w:t xml:space="preserve">ويتعين على الشركة خلال مدة لا تجاوز شهرًا من انتهاء المدة المقررة للاكتتاب أن تتخذ اللازم للتأشير في هامش قيد </w:t>
                  </w:r>
                  <w:r w:rsidRPr="00F01EC8">
                    <w:rPr>
                      <w:rFonts w:ascii="Times New Roman" w:eastAsia="Times New Roman" w:hAnsi="Times New Roman" w:cs="Times New Roman"/>
                      <w:rtl/>
                    </w:rPr>
                    <w:lastRenderedPageBreak/>
                    <w:t xml:space="preserve">الرهن بإجمالي المبلغ الذي تمثله السندات أو الصكوك وأية بيانات أخرى تكون متعلقة به تقررها الهيئة.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مادة (196)</w:t>
                  </w:r>
                  <w:r w:rsidRPr="00F01EC8">
                    <w:rPr>
                      <w:rFonts w:ascii="Times New Roman" w:eastAsia="Times New Roman" w:hAnsi="Times New Roman" w:cs="Times New Roman"/>
                      <w:b/>
                      <w:bCs/>
                      <w:sz w:val="24"/>
                      <w:szCs w:val="24"/>
                      <w:rtl/>
                    </w:rPr>
                    <w:br/>
                  </w:r>
                  <w:r w:rsidRPr="00F01EC8">
                    <w:rPr>
                      <w:rFonts w:ascii="Times New Roman" w:eastAsia="Times New Roman" w:hAnsi="Times New Roman" w:cs="Times New Roman" w:hint="cs"/>
                      <w:b/>
                      <w:bCs/>
                      <w:sz w:val="24"/>
                      <w:szCs w:val="24"/>
                      <w:rtl/>
                      <w:lang w:bidi="ar-EG"/>
                    </w:rPr>
                    <w:t>هذا النص وفقاً لآخر تعديل بموجب القانون رقم 97 لسنة 2013- للاطلاع على النص الأصلي</w:t>
                  </w:r>
                  <w:r w:rsidRPr="00F01EC8">
                    <w:rPr>
                      <w:rFonts w:ascii="Times New Roman" w:eastAsia="Times New Roman" w:hAnsi="Times New Roman" w:cs="Times New Roman"/>
                      <w:b/>
                      <w:bCs/>
                      <w:sz w:val="24"/>
                      <w:szCs w:val="24"/>
                      <w:rtl/>
                    </w:rPr>
                    <w:t xml:space="preserve">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إذا لم تكن قيمة السند أو الصك قد دفعت كاملةً عند الاكتتاب ولم يلب المكتتب الدعوة الموجهة إليه من الشركة لدفع الباقي عند استحقاقه، جاز للشركة أن تبيع السند وفقًا لأحكام المادة (155) من هذا القانون.</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(197)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 xml:space="preserve">يجوز إصدار سندات ذات مكافأة تدفع عند استهلاك السند، أو الوفاء بقيمته.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(198)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 xml:space="preserve">تلتزم الشركة بالوفاء بقيمة السندات أو الصكوك وفقًا للشروط التي وضعت عند الإصدار، ولا يجوز تقديم ميعاد الوفاء أو تأخيره، ما لم ينص على ذلك في قرار إصدار السندات أو الصكوك ونشرة الاكتتاب أو تصدر موافقة بذلك من هيئة حملة السندات. </w:t>
                  </w:r>
                  <w:r w:rsidRPr="00F01EC8">
                    <w:rPr>
                      <w:rFonts w:ascii="Times New Roman" w:eastAsia="Times New Roman" w:hAnsi="Times New Roman" w:cs="Times New Roman"/>
                      <w:rtl/>
                    </w:rPr>
                    <w:br/>
                    <w:t xml:space="preserve">وفي حالة حل الشركة لغير سبب الاندماج يكون لحاملي السندات أو الصكوك أن يطلبوا أداء قيمتها قبل ميعاد استحقاقها، كما يجوز للشركة أن تعرض عليهم ذلك، فإذا تم الوفاء بقيمة السند في أي من هاتين الحالتين سقطت العوائد عن المدة المتبقية من أجل السند.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(199)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tl/>
                    </w:rPr>
                  </w:pPr>
                  <w:r w:rsidRPr="00F01EC8">
                    <w:rPr>
                      <w:rFonts w:ascii="Times New Roman" w:eastAsia="Times New Roman" w:hAnsi="Times New Roman" w:cs="Times New Roman"/>
                      <w:rtl/>
                    </w:rPr>
                    <w:t xml:space="preserve">يخضع تداول السندات أو الصكوك لأحكام القانون رقم 7 لسنة 2010 المشار إليه وما تصدره الهيئة من قواعد في هذا الشأن. </w:t>
                  </w:r>
                  <w:r w:rsidRPr="00F01EC8">
                    <w:rPr>
                      <w:rFonts w:ascii="Times New Roman" w:eastAsia="Times New Roman" w:hAnsi="Times New Roman" w:cs="Times New Roman"/>
                      <w:rtl/>
                    </w:rPr>
                    <w:br/>
                    <w:t xml:space="preserve">ويجوز رهن السندات أو الصكوك والحجز عليها بذات الإجراءات المنصوص عليها في هذا القانون بشأن الأسهم. </w:t>
                  </w:r>
                </w:p>
                <w:p w:rsidR="00F01EC8" w:rsidRPr="00F01EC8" w:rsidRDefault="00F01EC8" w:rsidP="00F01EC8">
                  <w:pPr>
                    <w:spacing w:before="100" w:beforeAutospacing="1" w:after="100" w:afterAutospacing="1" w:line="240" w:lineRule="auto"/>
                    <w:jc w:val="center"/>
                    <w:rPr>
                      <w:rFonts w:ascii="Times New Roman" w:eastAsia="Times New Roman" w:hAnsi="Times New Roman" w:cs="Times New Roman"/>
                      <w:sz w:val="24"/>
                      <w:szCs w:val="24"/>
                      <w:rtl/>
                    </w:rPr>
                  </w:pPr>
                  <w:r w:rsidRPr="00F01EC8">
                    <w:rPr>
                      <w:rFonts w:ascii="Times New Roman" w:eastAsia="Times New Roman" w:hAnsi="Times New Roman" w:cs="Times New Roman"/>
                      <w:b/>
                      <w:bCs/>
                      <w:sz w:val="24"/>
                      <w:szCs w:val="24"/>
                      <w:rtl/>
                    </w:rPr>
                    <w:t xml:space="preserve">مادة (200) </w:t>
                  </w:r>
                </w:p>
                <w:p w:rsidR="00F01EC8" w:rsidRPr="00F01EC8" w:rsidRDefault="00F01EC8" w:rsidP="00F01EC8">
                  <w:pPr>
                    <w:spacing w:before="100" w:beforeAutospacing="1" w:after="100" w:afterAutospacing="1" w:line="240" w:lineRule="auto"/>
                    <w:rPr>
                      <w:rFonts w:ascii="Times New Roman" w:eastAsia="Times New Roman" w:hAnsi="Times New Roman" w:cs="Times New Roman"/>
                      <w:sz w:val="24"/>
                      <w:szCs w:val="24"/>
                    </w:rPr>
                  </w:pPr>
                  <w:r w:rsidRPr="00F01EC8">
                    <w:rPr>
                      <w:rFonts w:ascii="Times New Roman" w:eastAsia="Times New Roman" w:hAnsi="Times New Roman" w:cs="Times New Roman"/>
                      <w:rtl/>
                    </w:rPr>
                    <w:t xml:space="preserve">للشركة أن تقبل سندات قروضها أو صكوك تمويلها وفاء للديون التي لها ولو كان ذلك قبل ميعاد استهلاك هذه السندات أو الصكوك، ويكون للشركة الحق في إعادة عرض هذه السندات أو الصكوك للاكتتاب ما لم يكن ممنوعًا بنص في عقد الشركة أو كانت هذه السندات أو الصكوك قد استردت تنفيذًا لالتزام يقضي على الشركة بالاسترداد. </w:t>
                  </w:r>
                  <w:r w:rsidRPr="00F01EC8">
                    <w:rPr>
                      <w:rFonts w:ascii="Times New Roman" w:eastAsia="Times New Roman" w:hAnsi="Times New Roman" w:cs="Times New Roman"/>
                      <w:rtl/>
                    </w:rPr>
                    <w:br/>
                    <w:t xml:space="preserve">ولا يعتبر عرض السندات أو الصكوك المستردة للاكتتاب من جديد وفقًا لأحكام الفقرة السابقة اكتتابًا جديدًا، ويكون له حكم السندات أو الصكوك المكتتب بها من الدفعة التي صدرت فيها. </w:t>
                  </w:r>
                </w:p>
              </w:tc>
            </w:tr>
            <w:tr w:rsidR="00F01EC8" w:rsidRPr="00F01EC8" w:rsidTr="00F01EC8">
              <w:trPr>
                <w:jc w:val="center"/>
              </w:trPr>
              <w:tc>
                <w:tcPr>
                  <w:tcW w:w="0" w:type="auto"/>
                  <w:tcBorders>
                    <w:top w:val="outset" w:sz="6" w:space="0" w:color="B5CBCF"/>
                    <w:left w:val="outset" w:sz="6" w:space="0" w:color="B5CBCF"/>
                    <w:bottom w:val="outset" w:sz="6" w:space="0" w:color="B5CBCF"/>
                    <w:right w:val="outset" w:sz="6" w:space="0" w:color="B5CBCF"/>
                  </w:tcBorders>
                  <w:shd w:val="clear" w:color="auto" w:fill="E8F2F4"/>
                  <w:hideMark/>
                </w:tcPr>
                <w:p w:rsidR="00F01EC8" w:rsidRPr="00F01EC8" w:rsidRDefault="00F01EC8" w:rsidP="00F01EC8">
                  <w:pPr>
                    <w:spacing w:after="0" w:line="240" w:lineRule="auto"/>
                    <w:jc w:val="center"/>
                    <w:rPr>
                      <w:rFonts w:ascii="Times New Roman" w:eastAsia="Times New Roman" w:hAnsi="Times New Roman" w:cs="Times New Roman"/>
                      <w:sz w:val="24"/>
                      <w:szCs w:val="24"/>
                    </w:rPr>
                  </w:pPr>
                  <w:r w:rsidRPr="00F01EC8">
                    <w:rPr>
                      <w:rFonts w:ascii="Times New Roman" w:eastAsia="Times New Roman" w:hAnsi="Times New Roman" w:cs="Times New Roman"/>
                      <w:b/>
                      <w:bCs/>
                      <w:color w:val="808080"/>
                      <w:sz w:val="20"/>
                      <w:szCs w:val="20"/>
                      <w:rtl/>
                    </w:rPr>
                    <w:lastRenderedPageBreak/>
                    <w:t>جميع</w:t>
                  </w:r>
                  <w:r w:rsidRPr="00F01EC8">
                    <w:rPr>
                      <w:rFonts w:ascii="Times New Roman" w:eastAsia="Times New Roman" w:hAnsi="Times New Roman" w:cs="Times New Roman"/>
                      <w:b/>
                      <w:bCs/>
                      <w:color w:val="808080"/>
                      <w:sz w:val="20"/>
                      <w:szCs w:val="20"/>
                    </w:rPr>
                    <w:t xml:space="preserve"> </w:t>
                  </w:r>
                  <w:r w:rsidRPr="00F01EC8">
                    <w:rPr>
                      <w:rFonts w:ascii="Times New Roman" w:eastAsia="Times New Roman" w:hAnsi="Times New Roman" w:cs="Times New Roman"/>
                      <w:b/>
                      <w:bCs/>
                      <w:color w:val="808080"/>
                      <w:sz w:val="20"/>
                      <w:szCs w:val="20"/>
                      <w:rtl/>
                    </w:rPr>
                    <w:t>الحقوق © 2003 - محفوظة لـ</w:t>
                  </w:r>
                  <w:r w:rsidRPr="00F01EC8">
                    <w:rPr>
                      <w:rFonts w:ascii="Times New Roman" w:eastAsia="Times New Roman" w:hAnsi="Times New Roman" w:cs="Times New Roman"/>
                      <w:b/>
                      <w:bCs/>
                      <w:color w:val="808080"/>
                      <w:sz w:val="20"/>
                      <w:szCs w:val="20"/>
                    </w:rPr>
                    <w:t xml:space="preserve"> </w:t>
                  </w:r>
                  <w:hyperlink r:id="rId4" w:tgtFrame="top" w:history="1">
                    <w:r w:rsidRPr="00F01EC8">
                      <w:rPr>
                        <w:rFonts w:ascii="Times New Roman" w:eastAsia="Times New Roman" w:hAnsi="Times New Roman" w:cs="Times New Roman"/>
                        <w:b/>
                        <w:bCs/>
                        <w:color w:val="808080"/>
                        <w:sz w:val="18"/>
                        <w:u w:val="single"/>
                      </w:rPr>
                      <w:t>www.mohamoon-kw.com</w:t>
                    </w:r>
                  </w:hyperlink>
                  <w:r w:rsidRPr="00F01EC8">
                    <w:rPr>
                      <w:rFonts w:ascii="Times New Roman" w:eastAsia="Times New Roman" w:hAnsi="Times New Roman" w:cs="Times New Roman"/>
                      <w:b/>
                      <w:bCs/>
                      <w:color w:val="808080"/>
                      <w:sz w:val="20"/>
                      <w:szCs w:val="20"/>
                    </w:rPr>
                    <w:t xml:space="preserve"> </w:t>
                  </w:r>
                </w:p>
              </w:tc>
            </w:tr>
          </w:tbl>
          <w:p w:rsidR="00F01EC8" w:rsidRPr="00F01EC8" w:rsidRDefault="00F01EC8" w:rsidP="00F01EC8">
            <w:pPr>
              <w:spacing w:after="0" w:line="240" w:lineRule="auto"/>
              <w:rPr>
                <w:rFonts w:ascii="Times New Roman" w:eastAsia="Times New Roman" w:hAnsi="Times New Roman" w:cs="Times New Roman"/>
                <w:sz w:val="24"/>
                <w:szCs w:val="24"/>
              </w:rPr>
            </w:pPr>
          </w:p>
        </w:tc>
      </w:tr>
      <w:tr w:rsidR="00F01EC8" w:rsidRPr="00F01EC8">
        <w:trPr>
          <w:tblCellSpacing w:w="7" w:type="dxa"/>
          <w:jc w:val="center"/>
        </w:trPr>
        <w:tc>
          <w:tcPr>
            <w:tcW w:w="0" w:type="auto"/>
            <w:vAlign w:val="center"/>
            <w:hideMark/>
          </w:tcPr>
          <w:p w:rsidR="00F01EC8" w:rsidRPr="00F01EC8" w:rsidRDefault="00F01EC8" w:rsidP="00F01EC8">
            <w:pPr>
              <w:spacing w:after="0" w:line="240" w:lineRule="auto"/>
              <w:rPr>
                <w:rFonts w:ascii="Times New Roman" w:eastAsia="Times New Roman" w:hAnsi="Times New Roman" w:cs="Times New Roman"/>
                <w:sz w:val="24"/>
                <w:szCs w:val="24"/>
              </w:rPr>
            </w:pPr>
          </w:p>
        </w:tc>
      </w:tr>
      <w:tr w:rsidR="00F01EC8" w:rsidRPr="00F01EC8">
        <w:trPr>
          <w:tblCellSpacing w:w="7" w:type="dxa"/>
          <w:jc w:val="center"/>
        </w:trPr>
        <w:tc>
          <w:tcPr>
            <w:tcW w:w="0" w:type="auto"/>
            <w:vAlign w:val="center"/>
            <w:hideMark/>
          </w:tcPr>
          <w:p w:rsidR="00F01EC8" w:rsidRPr="00F01EC8" w:rsidRDefault="00F01EC8" w:rsidP="00F01EC8">
            <w:pPr>
              <w:spacing w:after="0" w:line="240" w:lineRule="auto"/>
              <w:rPr>
                <w:rFonts w:ascii="Times New Roman" w:eastAsia="Times New Roman" w:hAnsi="Times New Roman" w:cs="Times New Roman"/>
                <w:sz w:val="24"/>
                <w:szCs w:val="24"/>
              </w:rPr>
            </w:pPr>
          </w:p>
        </w:tc>
      </w:tr>
    </w:tbl>
    <w:p w:rsidR="00F01EC8" w:rsidRDefault="00F01EC8" w:rsidP="00F01EC8">
      <w:pPr>
        <w:pStyle w:val="NormalWeb"/>
        <w:bidi/>
        <w:jc w:val="center"/>
      </w:pPr>
      <w:r>
        <w:rPr>
          <w:b/>
          <w:bCs/>
          <w:rtl/>
        </w:rPr>
        <w:t xml:space="preserve">مادة (201) </w:t>
      </w:r>
    </w:p>
    <w:p w:rsidR="00F01EC8" w:rsidRDefault="00F01EC8" w:rsidP="00F01EC8">
      <w:pPr>
        <w:pStyle w:val="NormalWeb"/>
        <w:bidi/>
        <w:rPr>
          <w:rtl/>
        </w:rPr>
      </w:pPr>
      <w:r>
        <w:rPr>
          <w:sz w:val="22"/>
          <w:szCs w:val="22"/>
          <w:rtl/>
        </w:rPr>
        <w:t xml:space="preserve">يكون للشركة سجل خاص لدى وكالة مقاصة وتقيد فيه أسماء حملة السندات أو الصكوك وجنسياتهم وموطنهم وعدد السندات أو الصكوك المملوكة لكل منهم –ما لم تكن لحامله- ونوع السندات أو الصكوك والقيمة المدفوعة منها. </w:t>
      </w:r>
      <w:r>
        <w:rPr>
          <w:sz w:val="22"/>
          <w:szCs w:val="22"/>
          <w:rtl/>
        </w:rPr>
        <w:br/>
        <w:t xml:space="preserve">ويتم التأشير في هذا السجل بأي تغييرات تطرأ على البيانات المسجلة فيه وفقًا لما تتلقاه الشركة أو وكالة المقاصة من بيانات. </w:t>
      </w:r>
      <w:r>
        <w:rPr>
          <w:sz w:val="22"/>
          <w:szCs w:val="22"/>
          <w:rtl/>
        </w:rPr>
        <w:br/>
        <w:t xml:space="preserve">ولكل ذي شأن أن يطلب من الشركة أو وكالة المقاصة تزويده ببيانات هذا السجل. </w:t>
      </w:r>
    </w:p>
    <w:p w:rsidR="00F01EC8" w:rsidRDefault="00F01EC8" w:rsidP="00F01EC8">
      <w:pPr>
        <w:pStyle w:val="NormalWeb"/>
        <w:bidi/>
        <w:jc w:val="center"/>
        <w:rPr>
          <w:rtl/>
        </w:rPr>
      </w:pPr>
      <w:r>
        <w:rPr>
          <w:b/>
          <w:bCs/>
          <w:rtl/>
        </w:rPr>
        <w:t xml:space="preserve">مادة (202) </w:t>
      </w:r>
    </w:p>
    <w:p w:rsidR="00F01EC8" w:rsidRDefault="00F01EC8" w:rsidP="00F01EC8">
      <w:pPr>
        <w:pStyle w:val="NormalWeb"/>
        <w:bidi/>
        <w:rPr>
          <w:rtl/>
        </w:rPr>
      </w:pPr>
      <w:r>
        <w:rPr>
          <w:sz w:val="22"/>
          <w:szCs w:val="22"/>
          <w:rtl/>
        </w:rPr>
        <w:t xml:space="preserve">تتكون هيئة من حاملي السندات أو الصكوك الخاصة بكل إصدار لحماية المصالح المشتركة لأعضائها، ويكون لها ممثل قانوني من بين أعضائها أو تختاره من الغير، ويشترط في ممثل هيئة حاملي السندات أو الصكوك ألا يكون له مصلحة مباشرة أو غير مباشرة مع الشركة، وعلى الشركة خلال شهر من تاريخ انتهاء الاكتتاب في السندات أو الصكوك، أن تدعو هيئة حاملي السندات أو الصكوك للموافقة على النظام الخاص بها وانتخاب أو اختيار ممثلها، وتتم الدعوة عن طريق النشر والإعلان. </w:t>
      </w:r>
      <w:r>
        <w:rPr>
          <w:sz w:val="22"/>
          <w:szCs w:val="22"/>
          <w:rtl/>
        </w:rPr>
        <w:br/>
      </w:r>
      <w:r>
        <w:rPr>
          <w:sz w:val="22"/>
          <w:szCs w:val="22"/>
          <w:rtl/>
        </w:rPr>
        <w:lastRenderedPageBreak/>
        <w:t xml:space="preserve">وإذا لم تدع الشركة هيئة حاملي السندات أو الصكوك للاجتماع خلال المدة المشار إليها في الفقرة السابقة، كان لكل ذي شأن أن يطلب من الهيئة دعوة هيئة حاملي السندات أو الصكوك للاجتماع وذلك خلال مدة لا تجاوز خمسة عشر يومًا من تاريخ تقديم الطلب. </w:t>
      </w:r>
    </w:p>
    <w:p w:rsidR="00F01EC8" w:rsidRDefault="00F01EC8" w:rsidP="00F01EC8">
      <w:pPr>
        <w:pStyle w:val="NormalWeb"/>
        <w:bidi/>
        <w:jc w:val="center"/>
        <w:rPr>
          <w:rtl/>
        </w:rPr>
      </w:pPr>
      <w:r>
        <w:rPr>
          <w:b/>
          <w:bCs/>
          <w:rtl/>
        </w:rPr>
        <w:t>مادة (203)</w:t>
      </w:r>
      <w:r>
        <w:rPr>
          <w:b/>
          <w:bCs/>
          <w:rtl/>
        </w:rPr>
        <w:br/>
      </w:r>
      <w:r>
        <w:rPr>
          <w:rFonts w:hint="cs"/>
          <w:b/>
          <w:bCs/>
          <w:rtl/>
          <w:lang w:bidi="ar-EG"/>
        </w:rPr>
        <w:t xml:space="preserve">هذا النص وفقاً لآخر تعديل بموجب </w:t>
      </w:r>
      <w:r>
        <w:rPr>
          <w:rStyle w:val="clsrelatedlink"/>
          <w:rFonts w:hint="cs"/>
          <w:b/>
          <w:bCs/>
          <w:rtl/>
          <w:lang w:bidi="ar-EG"/>
        </w:rPr>
        <w:t>القانون رقم 97 لسنة 2013</w:t>
      </w:r>
      <w:r>
        <w:rPr>
          <w:rFonts w:hint="cs"/>
          <w:b/>
          <w:bCs/>
          <w:rtl/>
          <w:lang w:bidi="ar-EG"/>
        </w:rPr>
        <w:t xml:space="preserve">- </w:t>
      </w:r>
      <w:r>
        <w:rPr>
          <w:rStyle w:val="clsrelatedlink"/>
          <w:rFonts w:hint="cs"/>
          <w:b/>
          <w:bCs/>
          <w:rtl/>
          <w:lang w:bidi="ar-EG"/>
        </w:rPr>
        <w:t>للاطلاع على النص الأصلي</w:t>
      </w:r>
      <w:r>
        <w:rPr>
          <w:b/>
          <w:bCs/>
          <w:rtl/>
        </w:rPr>
        <w:t xml:space="preserve">  </w:t>
      </w:r>
    </w:p>
    <w:p w:rsidR="00F01EC8" w:rsidRDefault="00F01EC8" w:rsidP="00F01EC8">
      <w:pPr>
        <w:pStyle w:val="NormalWeb"/>
        <w:bidi/>
        <w:rPr>
          <w:rtl/>
        </w:rPr>
      </w:pPr>
      <w:r>
        <w:rPr>
          <w:sz w:val="22"/>
          <w:szCs w:val="22"/>
          <w:rtl/>
        </w:rPr>
        <w:t>تعقد هيئة حاملي السندات والصكوك اجتماعاتها بناءً على دعوة ممثليها، أو بناءً على دعوة مجلس إدارة الشركة، أو بناءً على طلب فريق من حملة السندات أو الصكوك يمثلون خمسة بالمائة من قيمتها على الأقل، أو بناءً على طلب الهيئة، وتجري الدعوة متضمنةً جدول الأعمال بالطرق المنصوص عليها بالمادة (268) من هذا القانون.</w:t>
      </w:r>
    </w:p>
    <w:p w:rsidR="00F01EC8" w:rsidRDefault="00F01EC8" w:rsidP="00F01EC8">
      <w:pPr>
        <w:pStyle w:val="NormalWeb"/>
        <w:bidi/>
        <w:jc w:val="center"/>
        <w:rPr>
          <w:rtl/>
        </w:rPr>
      </w:pPr>
      <w:r>
        <w:rPr>
          <w:b/>
          <w:bCs/>
          <w:rtl/>
        </w:rPr>
        <w:t xml:space="preserve">مادة (204) </w:t>
      </w:r>
    </w:p>
    <w:p w:rsidR="00F01EC8" w:rsidRDefault="00F01EC8" w:rsidP="00F01EC8">
      <w:pPr>
        <w:pStyle w:val="NormalWeb"/>
        <w:bidi/>
        <w:rPr>
          <w:rtl/>
        </w:rPr>
      </w:pPr>
      <w:r>
        <w:rPr>
          <w:sz w:val="22"/>
          <w:szCs w:val="22"/>
          <w:rtl/>
        </w:rPr>
        <w:t xml:space="preserve">لا تكون قرارات هيئة حاملي السندات أو الصكوك قانونية إلا إذا حضر الاجتماع عدد يمثل ثلثي السندات أو الصكوك المصدرة، فإذا لم يكتمل هذا النصاب دعيت هيئة حاملي السندات أو الصكوك إلى اجتماع ثان بذات جدول الأعمال خلال سبعة أيام من تاريخ الاجتماع الأول، ويكفي في الاجتماع الثاني حضور من يمثل ثلث السندات، وتتخذ القرارات بأغلبية ثلثي أصوات الحاضرين. </w:t>
      </w:r>
      <w:r>
        <w:rPr>
          <w:sz w:val="22"/>
          <w:szCs w:val="22"/>
          <w:rtl/>
        </w:rPr>
        <w:br/>
        <w:t xml:space="preserve">على أن كل قرار يطيل ميعاد الوفاء بالسندات أو الصكوك أو يخفض العائد أو رأس مال الدين أو ينقص التأمينات أو يمس بحقوق حملة السندات أو الصكوك لا يجوز أن يتخذ إلا بحضور من يمثل ثلثي السندات أو الصكوك المصدرة. </w:t>
      </w:r>
      <w:r>
        <w:rPr>
          <w:sz w:val="22"/>
          <w:szCs w:val="22"/>
          <w:rtl/>
        </w:rPr>
        <w:br/>
        <w:t xml:space="preserve">وتسري قرارات هيئة حاملي السندات أو الصكوك على الغائبين وعلى المخالفين من الحاضرين. </w:t>
      </w:r>
    </w:p>
    <w:p w:rsidR="00F01EC8" w:rsidRDefault="00F01EC8" w:rsidP="00F01EC8">
      <w:pPr>
        <w:pStyle w:val="NormalWeb"/>
        <w:bidi/>
        <w:jc w:val="center"/>
        <w:rPr>
          <w:rtl/>
        </w:rPr>
      </w:pPr>
      <w:r>
        <w:rPr>
          <w:b/>
          <w:bCs/>
          <w:rtl/>
        </w:rPr>
        <w:t xml:space="preserve">مادة (205) </w:t>
      </w:r>
    </w:p>
    <w:p w:rsidR="00F01EC8" w:rsidRDefault="00F01EC8" w:rsidP="00F01EC8">
      <w:pPr>
        <w:pStyle w:val="NormalWeb"/>
        <w:bidi/>
        <w:rPr>
          <w:rtl/>
        </w:rPr>
      </w:pPr>
      <w:r>
        <w:rPr>
          <w:sz w:val="22"/>
          <w:szCs w:val="22"/>
          <w:rtl/>
        </w:rPr>
        <w:t xml:space="preserve">لممثلي هيئة حاملي السندات أو الصكوك حق حضور الجمعيات العامة للشركة، وعلى الشركة أن توجه لهم نفس الدعوة الموجهة للمساهمين، ويحق لهم الاشتراك في المناقشات دون تصويت. </w:t>
      </w:r>
    </w:p>
    <w:p w:rsidR="00F01EC8" w:rsidRDefault="00F01EC8" w:rsidP="00F01EC8">
      <w:pPr>
        <w:pStyle w:val="NormalWeb"/>
        <w:bidi/>
        <w:jc w:val="center"/>
        <w:rPr>
          <w:rtl/>
        </w:rPr>
      </w:pPr>
      <w:r>
        <w:rPr>
          <w:b/>
          <w:bCs/>
          <w:rtl/>
        </w:rPr>
        <w:t xml:space="preserve">مادة (206) </w:t>
      </w:r>
    </w:p>
    <w:p w:rsidR="00F01EC8" w:rsidRDefault="00F01EC8" w:rsidP="00F01EC8">
      <w:pPr>
        <w:pStyle w:val="NormalWeb"/>
        <w:bidi/>
        <w:rPr>
          <w:rtl/>
        </w:rPr>
      </w:pPr>
      <w:r>
        <w:rPr>
          <w:sz w:val="22"/>
          <w:szCs w:val="22"/>
          <w:rtl/>
        </w:rPr>
        <w:t xml:space="preserve">يجوز لممثلي هيئة حاملي السندات أو الصكوك أن يتخذوا جميع التدابير التحفظية لصيانة حقوق حملة السندات أو الصكوك. </w:t>
      </w:r>
    </w:p>
    <w:p w:rsidR="00F01EC8" w:rsidRDefault="00F01EC8" w:rsidP="00F01EC8">
      <w:pPr>
        <w:pStyle w:val="NormalWeb"/>
        <w:bidi/>
        <w:jc w:val="center"/>
        <w:rPr>
          <w:rtl/>
        </w:rPr>
      </w:pPr>
      <w:r>
        <w:rPr>
          <w:b/>
          <w:bCs/>
          <w:rtl/>
        </w:rPr>
        <w:t xml:space="preserve">مادة (207) </w:t>
      </w:r>
    </w:p>
    <w:p w:rsidR="00F01EC8" w:rsidRDefault="00F01EC8" w:rsidP="00F01EC8">
      <w:pPr>
        <w:pStyle w:val="NormalWeb"/>
        <w:bidi/>
        <w:rPr>
          <w:rtl/>
        </w:rPr>
      </w:pPr>
      <w:r>
        <w:rPr>
          <w:sz w:val="22"/>
          <w:szCs w:val="22"/>
          <w:rtl/>
        </w:rPr>
        <w:t xml:space="preserve">على من يعارض في إعطاء بدل السند أو الصك الفاقد أو التالف أن يقيم دعوى أمام المحكمة المختصة خلال خمسة عشر يومًا من تاريخ معارضته وإلا اعتبرت كأن لم تكن، وعلى المحكمة أن تفصل في الدعوى على وجه السرعة. ويوقف إصدار السند أو الصك الجديد لحين الفصل في الدعوى بحكم نهائي. </w:t>
      </w:r>
    </w:p>
    <w:p w:rsidR="00F01EC8" w:rsidRPr="00F01EC8" w:rsidRDefault="00F01EC8" w:rsidP="00F01EC8">
      <w:pPr>
        <w:pBdr>
          <w:top w:val="single" w:sz="6" w:space="1" w:color="auto"/>
        </w:pBdr>
        <w:bidi w:val="0"/>
        <w:spacing w:after="0" w:line="240" w:lineRule="auto"/>
        <w:jc w:val="center"/>
        <w:rPr>
          <w:rFonts w:ascii="Arial" w:eastAsia="Times New Roman" w:hAnsi="Arial" w:cs="Arial"/>
          <w:vanish/>
          <w:sz w:val="16"/>
          <w:szCs w:val="16"/>
        </w:rPr>
      </w:pPr>
      <w:r w:rsidRPr="00F01EC8">
        <w:rPr>
          <w:rFonts w:ascii="Arial" w:eastAsia="Times New Roman" w:hAnsi="Arial" w:cs="Arial"/>
          <w:vanish/>
          <w:sz w:val="16"/>
          <w:szCs w:val="16"/>
        </w:rPr>
        <w:t>Bottom of Form</w:t>
      </w:r>
    </w:p>
    <w:p w:rsidR="009E0BA0" w:rsidRDefault="009E0BA0">
      <w:pPr>
        <w:rPr>
          <w:rFonts w:hint="cs"/>
          <w:lang w:bidi="ar-KW"/>
        </w:rPr>
      </w:pPr>
    </w:p>
    <w:sectPr w:rsidR="009E0BA0" w:rsidSect="00F7041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1EC8"/>
    <w:rsid w:val="009E0BA0"/>
    <w:rsid w:val="00A374F8"/>
    <w:rsid w:val="00F01EC8"/>
    <w:rsid w:val="00F704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F01EC8"/>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01EC8"/>
    <w:rPr>
      <w:rFonts w:ascii="Arial" w:eastAsia="Times New Roman" w:hAnsi="Arial" w:cs="Arial"/>
      <w:vanish/>
      <w:sz w:val="16"/>
      <w:szCs w:val="16"/>
    </w:rPr>
  </w:style>
  <w:style w:type="paragraph" w:styleId="NormalWeb">
    <w:name w:val="Normal (Web)"/>
    <w:basedOn w:val="Normal"/>
    <w:uiPriority w:val="99"/>
    <w:unhideWhenUsed/>
    <w:rsid w:val="00F01EC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relatedlink">
    <w:name w:val="clsrelatedlink"/>
    <w:basedOn w:val="DefaultParagraphFont"/>
    <w:rsid w:val="00F01EC8"/>
  </w:style>
  <w:style w:type="character" w:styleId="Hyperlink">
    <w:name w:val="Hyperlink"/>
    <w:basedOn w:val="DefaultParagraphFont"/>
    <w:uiPriority w:val="99"/>
    <w:semiHidden/>
    <w:unhideWhenUsed/>
    <w:rsid w:val="00F01EC8"/>
    <w:rPr>
      <w:color w:val="0000FF"/>
      <w:u w:val="single"/>
    </w:rPr>
  </w:style>
  <w:style w:type="paragraph" w:styleId="z-BottomofForm">
    <w:name w:val="HTML Bottom of Form"/>
    <w:basedOn w:val="Normal"/>
    <w:next w:val="Normal"/>
    <w:link w:val="z-BottomofFormChar"/>
    <w:hidden/>
    <w:uiPriority w:val="99"/>
    <w:semiHidden/>
    <w:unhideWhenUsed/>
    <w:rsid w:val="00F01EC8"/>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01EC8"/>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7199163">
      <w:bodyDiv w:val="1"/>
      <w:marLeft w:val="0"/>
      <w:marRight w:val="0"/>
      <w:marTop w:val="0"/>
      <w:marBottom w:val="0"/>
      <w:divBdr>
        <w:top w:val="none" w:sz="0" w:space="0" w:color="auto"/>
        <w:left w:val="none" w:sz="0" w:space="0" w:color="auto"/>
        <w:bottom w:val="none" w:sz="0" w:space="0" w:color="auto"/>
        <w:right w:val="none" w:sz="0" w:space="0" w:color="auto"/>
      </w:divBdr>
      <w:divsChild>
        <w:div w:id="677082560">
          <w:marLeft w:val="0"/>
          <w:marRight w:val="0"/>
          <w:marTop w:val="0"/>
          <w:marBottom w:val="0"/>
          <w:divBdr>
            <w:top w:val="none" w:sz="0" w:space="0" w:color="auto"/>
            <w:left w:val="none" w:sz="0" w:space="0" w:color="auto"/>
            <w:bottom w:val="none" w:sz="0" w:space="0" w:color="auto"/>
            <w:right w:val="none" w:sz="0" w:space="0" w:color="auto"/>
          </w:divBdr>
          <w:divsChild>
            <w:div w:id="13597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90409">
      <w:bodyDiv w:val="1"/>
      <w:marLeft w:val="0"/>
      <w:marRight w:val="0"/>
      <w:marTop w:val="0"/>
      <w:marBottom w:val="0"/>
      <w:divBdr>
        <w:top w:val="none" w:sz="0" w:space="0" w:color="auto"/>
        <w:left w:val="none" w:sz="0" w:space="0" w:color="auto"/>
        <w:bottom w:val="none" w:sz="0" w:space="0" w:color="auto"/>
        <w:right w:val="none" w:sz="0" w:space="0" w:color="auto"/>
      </w:divBdr>
      <w:divsChild>
        <w:div w:id="957685237">
          <w:marLeft w:val="0"/>
          <w:marRight w:val="0"/>
          <w:marTop w:val="0"/>
          <w:marBottom w:val="0"/>
          <w:divBdr>
            <w:top w:val="none" w:sz="0" w:space="0" w:color="auto"/>
            <w:left w:val="none" w:sz="0" w:space="0" w:color="auto"/>
            <w:bottom w:val="none" w:sz="0" w:space="0" w:color="auto"/>
            <w:right w:val="none" w:sz="0" w:space="0" w:color="auto"/>
          </w:divBdr>
          <w:divsChild>
            <w:div w:id="446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hamoon-k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Agility</Company>
  <LinksUpToDate>false</LinksUpToDate>
  <CharactersWithSpaces>12685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hessa</dc:creator>
  <cp:lastModifiedBy>hessa</cp:lastModifiedBy>
  <cp:revision>1</cp:revision>
  <dcterms:created xsi:type="dcterms:W3CDTF">2013-04-22T06:43:00Z</dcterms:created>
  <dcterms:modified xsi:type="dcterms:W3CDTF">2013-04-22T11:41:00Z</dcterms:modified>
</cp:coreProperties>
</file>