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GNU APL 2.0</w:t>
      </w:r>
    </w:p>
    <w:p>
      <w:pPr>
        <w:spacing w:after="80"/>
      </w:pPr>
      <w:r>
        <w:rPr>
          <w:rFonts w:ascii="Arial" w:cs="Arial" w:eastAsia="Arial" w:hAnsi="Arial"/>
          <w:color w:val="2E4A7A"/>
          <w:sz w:val="32"/>
          <w:szCs w:val="32"/>
        </w:rPr>
        <w:t xml:space="preserve">Deep Code Analysis Report</w:t>
      </w:r>
    </w:p>
    <w:p>
      <w:pPr>
        <w:spacing w:after="2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Date: April 2026  |  Language: C++  |  Lines: ~143,000  |  Files: 387  |  License: GPL v3</w:t>
      </w:r>
    </w:p>
    <w:p>
      <w:pPr>
        <w:pBdr>
          <w:bottom w:val="single" w:color="DDDDDD" w:sz="4" w:space="1"/>
        </w:pBdr>
        <w:spacing w:after="160" w:before="160"/>
      </w:pP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GNU APL 2.0 is a well-structured, mature C++ implementation of the ISO/IEC 13751 APL standard (~143k lines). The architecture is clean and layered, but the codebase carries meaningful security and memory risks that should be addressed before any deployment in a multi-user or networked context.</w:t>
      </w:r>
    </w:p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80"/>
        <w:gridCol w:w="2180"/>
        <w:gridCol w:w="5000"/>
      </w:tblGrid>
      <w:tr>
        <w:trPr>
          <w:tblHeader/>
        </w:trPr>
        <w:tc>
          <w:tcPr>
            <w:tcW w:type="dxa" w:w="2180"/>
            <w:tcBorders>
              <w:top w:val="single" w:color="2E4A7A" w:sz="1"/>
              <w:left w:val="single" w:color="2E4A7A" w:sz="1"/>
              <w:bottom w:val="single" w:color="2E4A7A" w:sz="1"/>
              <w:right w:val="single" w:color="2E4A7A" w:sz="1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Area</w:t>
            </w:r>
          </w:p>
        </w:tc>
        <w:tc>
          <w:tcPr>
            <w:tcW w:type="dxa" w:w="2180"/>
            <w:tcBorders>
              <w:top w:val="single" w:color="2E4A7A" w:sz="1"/>
              <w:left w:val="single" w:color="2E4A7A" w:sz="1"/>
              <w:bottom w:val="single" w:color="2E4A7A" w:sz="1"/>
              <w:right w:val="single" w:color="2E4A7A" w:sz="1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Rating</w:t>
            </w:r>
          </w:p>
        </w:tc>
        <w:tc>
          <w:tcPr>
            <w:tcW w:type="dxa" w:w="5000"/>
            <w:tcBorders>
              <w:top w:val="single" w:color="2E4A7A" w:sz="1"/>
              <w:left w:val="single" w:color="2E4A7A" w:sz="1"/>
              <w:bottom w:val="single" w:color="2E4A7A" w:sz="1"/>
              <w:right w:val="single" w:color="2E4A7A" w:sz="1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Key Finding</w:t>
            </w:r>
          </w:p>
        </w:tc>
      </w:tr>
      <w:tr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Architecture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✅ Good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Clean layered design, well-factored primitives</w:t>
            </w:r>
          </w:p>
        </w:tc>
      </w:tr>
      <w:tr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Security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🔴 High risk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E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⎕FIO popen/exec open by default; format-string exposure</w:t>
            </w:r>
          </w:p>
        </w:tc>
      </w:tr>
      <w:tr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Memory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🟠 Moderate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136-call new/delete gap; no RAII; custom ref-count</w:t>
            </w:r>
          </w:p>
        </w:tc>
      </w:tr>
      <w:tr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Performance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🟡 Caution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3.4k-line parser; global state; spinning workers</w:t>
            </w:r>
          </w:p>
        </w:tc>
      </w:tr>
      <w:tr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Bugs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🟡 Caution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15 FIXMEs in XML/symbol paths; 553 hard asserts</w:t>
            </w:r>
          </w:p>
        </w:tc>
      </w:tr>
    </w:tbl>
    <w:p>
      <w:pPr>
        <w:spacing w:after="160"/>
      </w:pPr>
    </w:p>
    <w:p>
      <w:pPr>
        <w:pBdr>
          <w:bottom w:val="single" w:color="DDDDDD" w:sz="4" w:space="1"/>
        </w:pBdr>
        <w:spacing w:after="160" w:before="160"/>
      </w:pPr>
    </w:p>
    <w:p>
      <w:pPr>
        <w:pStyle w:val="Heading1"/>
      </w:pPr>
      <w:r>
        <w:t xml:space="preserve">1. Architecture &amp; Design Patterns</w:t>
      </w:r>
    </w:p>
    <w:p>
      <w:pPr>
        <w:pStyle w:val="Heading2"/>
      </w:pPr>
      <w:r>
        <w:t xml:space="preserve">1.1 Layered structure</w:t>
      </w:r>
    </w:p>
    <w:p>
      <w:pPr>
        <w:spacing w:after="120"/>
      </w:pPr>
      <w:r>
        <w:t xml:space="preserve">The interpreter is organized into five clean layers: Frontend (lexer/parser), Execution engine, Primitive functions, Value/memory, and I/O &amp; system quads. This separation is well-maintained with minimal cross-layer leakage.</w:t>
      </w:r>
    </w:p>
    <w:p>
      <w:pPr>
        <w:pStyle w:val="Heading2"/>
      </w:pPr>
      <w:r>
        <w:t xml:space="preserve">1.2 Type dispatch via X-macros</w:t>
      </w:r>
    </w:p>
    <w:p>
      <w:pPr>
        <w:spacing w:after="120"/>
      </w:pPr>
      <w:r>
        <w:t xml:space="preserve">Token.def, Security.def, and Performance.def use #define-driven table generation. This keeps type tables DRY but makes navigation harder without IDE support. Recommend: migrate to enum class + constexpr tables in future refactors.</w:t>
      </w:r>
    </w:p>
    <w:p>
      <w:pPr>
        <w:pStyle w:val="Heading2"/>
      </w:pPr>
      <w:r>
        <w:t xml:space="preserve">1.3 Primitive function hierarchy</w:t>
      </w:r>
    </w:p>
    <w:p>
      <w:pPr>
        <w:spacing w:after="120"/>
      </w:pPr>
      <w:r>
        <w:t xml:space="preserve">Every APL primitive is a concrete ScalarFunction or NonscalarFunction subclass (e.g. Bif_F12_DIVIDE, Bif_F12_DOMINO). The design is clean OOP — each class overrides a small set of eval_* virtual methods — but results in ~60 leaf classes.</w:t>
      </w:r>
    </w:p>
    <w:p>
      <w:pPr>
        <w:pStyle w:val="Heading2"/>
      </w:pPr>
      <w:r>
        <w:t xml:space="preserve">1.4 Reference-counted values</w:t>
      </w:r>
    </w:p>
    <w:p>
      <w:pPr>
        <w:spacing w:after="120"/>
      </w:pPr>
      <w:r>
        <w:t xml:space="preserve">APL values are heap-allocated and owned through the Value_P smart-pointer wrapper. The DynamicObject base class maintains a doubly-linked ring of all live objects, enabling leak detection. This predates std::shared_ptr and substitutes for it throughout the codebase.</w:t>
      </w:r>
    </w:p>
    <w:p>
      <w:pPr>
        <w:pStyle w:val="Heading2"/>
      </w:pPr>
      <w:r>
        <w:t xml:space="preserve">1.5 Parallel execution</w:t>
      </w:r>
    </w:p>
    <w:p>
      <w:pPr>
        <w:spacing w:after="120"/>
      </w:pPr>
      <w:r>
        <w:t xml:space="preserve">Parallel.cc uses raw pthread_create with semaphores. Parallel jobs are dispatched via a Parallel_job_list_base template and are compile-time optional (PARALLEL_ENABLED). Only 47 mutex/atomic uses exist — most of the interpreter is single-threaded with parallel sections isolated to array operations.</w:t>
      </w:r>
    </w:p>
    <w:p>
      <w:pPr>
        <w:pBdr>
          <w:bottom w:val="single" w:color="DDDDDD" w:sz="4" w:space="1"/>
        </w:pBdr>
        <w:spacing w:after="160" w:before="160"/>
      </w:pPr>
    </w:p>
    <w:p>
      <w:pPr>
        <w:pStyle w:val="Heading1"/>
      </w:pPr>
      <w:r>
        <w:t xml:space="preserve">2. Security Issues</w:t>
      </w:r>
    </w:p>
    <w:p>
      <w:pPr>
        <w:pStyle w:val="Heading2"/>
      </w:pPr>
      <w:r>
        <w:t xml:space="preserve">2.1 Critical — ⎕FIO command execution</w:t>
      </w:r>
    </w:p>
    <w:p>
      <w:pPr>
        <w:spacing w:after="120"/>
      </w:pPr>
      <w:r>
        <w:rPr>
          <w:b/>
          <w:bCs/>
          <w:color w:val="CC0000"/>
        </w:rPr>
        <w:t xml:space="preserve">Severity: CRITICAL</w:t>
      </w:r>
    </w:p>
    <w:p>
      <w:pPr>
        <w:spacing w:after="120"/>
      </w:pPr>
      <w:r>
        <w:t xml:space="preserve">Quad_FIO.cc directly exposes popen(), fork()/execve(), and fscanf() with user-supplied format strings to the APL programmer. The command string comes straight from APL values with no sanitization.</w:t>
      </w:r>
    </w:p>
    <w:p>
      <w:pPr>
        <w:spacing w:after="120"/>
      </w:pPr>
      <w:r>
        <w:t xml:space="preserve">The risk gate is a single CHECK_SECURITY(disable_Quad_FIO__exec) macro that is opt-in to disable — not opt-in to enable. In default deployments this attack surface is fully open.</w:t>
      </w:r>
    </w:p>
    <w:p>
      <w:pPr>
        <w:spacing w:after="120"/>
      </w:pPr>
      <w:r>
        <w:t xml:space="preserve">Affected files: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Quad_FIO.cc — case 24 (popen), case 57 (fork/execve)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APserver.cc, Svar_DB.cc — popen with IPC-derived command strings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AP100.cc — popen with constructed command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Recommendation: Flip disable_Quad_FIO__exec and disable_Quad_FIO__write to opt-in (secure by default).</w:t>
      </w:r>
    </w:p>
    <w:p>
      <w:pPr>
        <w:pStyle w:val="Heading2"/>
      </w:pPr>
      <w:r>
        <w:t xml:space="preserve">2.2 strcpy into alloca buffer</w:t>
      </w:r>
    </w:p>
    <w:p>
      <w:pPr>
        <w:spacing w:after="120"/>
      </w:pPr>
      <w:r>
        <w:rPr>
          <w:b/>
          <w:bCs/>
          <w:color w:val="996600"/>
        </w:rPr>
        <w:t xml:space="preserve">Severity: Low (currently safe, one refactor from unsafe)</w:t>
      </w:r>
    </w:p>
    <w:p>
      <w:pPr>
        <w:spacing w:after="120"/>
      </w:pPr>
      <w:r>
        <w:t xml:space="preserve">Backtrace.cc:1404 uses strcpy into an alloca-allocated buffer. The strlen+1 sizing makes this safe as written, but strcpy into alloca is one refactor away from a stack overflow.</w:t>
      </w:r>
    </w:p>
    <w:p>
      <w:pPr>
        <w:spacing w:after="80"/>
        <w:ind w:left="72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char * mutable_si = reinterpret_cast&lt;char *&gt;(alloca(si_len));</w:t>
      </w:r>
    </w:p>
    <w:p>
      <w:pPr>
        <w:spacing w:after="80"/>
        <w:ind w:left="72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strcpy(mutable_si, const_si);  // should be strlcpy or memcpy</w:t>
      </w:r>
    </w:p>
    <w:p>
      <w:pPr>
        <w:spacing w:after="120"/>
      </w:pPr>
      <w:r>
        <w:t xml:space="preserve">Recommendation: Replace with memcpy(mutable_si, const_si, si_len).</w:t>
      </w:r>
    </w:p>
    <w:p>
      <w:pPr>
        <w:pStyle w:val="Heading2"/>
      </w:pPr>
      <w:r>
        <w:t xml:space="preserve">2.3 User-controlled printf format string</w:t>
      </w:r>
    </w:p>
    <w:p>
      <w:pPr>
        <w:spacing w:after="120"/>
      </w:pPr>
      <w:r>
        <w:rPr>
          <w:b/>
          <w:bCs/>
          <w:color w:val="996600"/>
        </w:rPr>
        <w:t xml:space="preserve">Severity: Moderate (guarded but opt-in)</w:t>
      </w:r>
    </w:p>
    <w:p>
      <w:pPr>
        <w:spacing w:after="120"/>
      </w:pPr>
      <w:r>
        <w:t xml:space="preserve">⎕FIO[22] passes the APL left argument directly as the format string to fprintf. If an attacker controls the APL workspace, this enables format-string exploitation. Guarded by disable_Quad_FIO__write, but off by default.</w:t>
      </w:r>
    </w:p>
    <w:p>
      <w:pPr>
        <w:pBdr>
          <w:bottom w:val="single" w:color="DDDDDD" w:sz="4" w:space="1"/>
        </w:pBdr>
        <w:spacing w:after="160" w:before="160"/>
      </w:pPr>
    </w:p>
    <w:p>
      <w:pPr>
        <w:pStyle w:val="Heading1"/>
      </w:pPr>
      <w:r>
        <w:t xml:space="preserve">3. Memory Management Issues</w:t>
      </w:r>
    </w:p>
    <w:p>
      <w:pPr>
        <w:pStyle w:val="Heading2"/>
      </w:pPr>
      <w:r>
        <w:t xml:space="preserve">3.1 new/delete imbalance</w:t>
      </w:r>
    </w:p>
    <w:p>
      <w:pPr>
        <w:spacing w:after="120"/>
      </w:pPr>
      <w:r>
        <w:t xml:space="preserve">300 new calls vs. 164 delete calls across .cc files — a gap of 136. This is partially explained by the Value_P ref-counting system, but cannot be confirmed clean without ASAN/Valgrind analysis on a full test suite.</w:t>
      </w:r>
    </w:p>
    <w:p>
      <w:pPr>
        <w:pStyle w:val="Heading2"/>
      </w:pPr>
      <w:r>
        <w:t xml:space="preserve">3.2 No RAII for most allocations</w:t>
      </w:r>
    </w:p>
    <w:p>
      <w:pPr>
        <w:spacing w:after="120"/>
      </w:pPr>
      <w:r>
        <w:t xml:space="preserve">The codebase predates widespread modern C++ idioms. Raw pointer ownership is managed manually throughout Command.cc, Parser.cc, and the Bif_* files. std::unique_ptr is not used.</w:t>
      </w:r>
    </w:p>
    <w:p>
      <w:pPr>
        <w:pStyle w:val="Heading2"/>
      </w:pPr>
      <w:r>
        <w:t xml:space="preserve">3.3 IndexExpr / Value lifetime coupling</w:t>
      </w:r>
    </w:p>
    <w:p>
      <w:pPr>
        <w:spacing w:after="120"/>
      </w:pPr>
      <w:r>
        <w:t xml:space="preserve">If an exception unwinds past a Value allocation before it is registered with a Value_P, the object leaks silently from the DynamicObject ring.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Recommendation: Run AddressSanitizer + Valgrind on the full test suite to quantify the real leak count.</w:t>
      </w:r>
    </w:p>
    <w:p>
      <w:pPr>
        <w:pBdr>
          <w:bottom w:val="single" w:color="DDDDDD" w:sz="4" w:space="1"/>
        </w:pBdr>
        <w:spacing w:after="160" w:before="160"/>
      </w:pPr>
    </w:p>
    <w:p>
      <w:pPr>
        <w:pStyle w:val="Heading1"/>
      </w:pPr>
      <w:r>
        <w:t xml:space="preserve">4. Performance &amp; Scalability</w:t>
      </w:r>
    </w:p>
    <w:p>
      <w:pPr>
        <w:pStyle w:val="Heading2"/>
      </w:pPr>
      <w:r>
        <w:t xml:space="preserve">4.1 Monolithic parser (Prefix.cc — 3,407 lines)</w:t>
      </w:r>
    </w:p>
    <w:p>
      <w:pPr>
        <w:spacing w:after="120"/>
      </w:pPr>
      <w:r>
        <w:t xml:space="preserve">This is the largest single file and handles all of APL's right-to-left evaluation order. It is the primary performance bottleneck candidate. Changes here require careful regression testing.</w:t>
      </w:r>
    </w:p>
    <w:p>
      <w:pPr>
        <w:pStyle w:val="Heading2"/>
      </w:pPr>
      <w:r>
        <w:t xml:space="preserve">4.2 Pervasive global mutable state</w:t>
      </w:r>
    </w:p>
    <w:p>
      <w:pPr>
        <w:spacing w:after="120"/>
      </w:pPr>
      <w:r>
        <w:t xml:space="preserve">Approximately 30 module-level or static globals exist (Thread_context::thread_contexts, Quad_RL::state, LineInput::the_line_input, etc.). This makes the interpreter non-reentrant and essentially impossible to embed multiple instances of in a single process.</w:t>
      </w:r>
    </w:p>
    <w:p>
      <w:pPr>
        <w:pStyle w:val="Heading2"/>
      </w:pPr>
      <w:r>
        <w:t xml:space="preserve">4.3 Spinning parallel workers</w:t>
      </w:r>
    </w:p>
    <w:p>
      <w:pPr>
        <w:spacing w:after="120"/>
      </w:pPr>
      <w:r>
        <w:t xml:space="preserve">Worker threads spin on semaphores (volatile _Atomic_word busy_worker_count). On a system with few cores or bursty workloads, this wastes CPU time and can starve the master thread.</w:t>
      </w:r>
    </w:p>
    <w:p>
      <w:pPr>
        <w:pStyle w:val="Heading2"/>
      </w:pPr>
      <w:r>
        <w:t xml:space="preserve">4.4 Performance instrumentation</w:t>
      </w:r>
    </w:p>
    <w:p>
      <w:pPr>
        <w:spacing w:after="120"/>
      </w:pPr>
      <w:r>
        <w:t xml:space="preserve">PrintBuffer.cc has 5 bracketed PERFORMANCE_START/END zones. The infrastructure is in place for profiling, but measurements are recorded and not acted on — there is no automatic adaptive optimization.</w:t>
      </w:r>
    </w:p>
    <w:p>
      <w:pPr>
        <w:pBdr>
          <w:bottom w:val="single" w:color="DDDDDD" w:sz="4" w:space="1"/>
        </w:pBdr>
        <w:spacing w:after="160" w:before="160"/>
      </w:pPr>
    </w:p>
    <w:p>
      <w:pPr>
        <w:pStyle w:val="Heading1"/>
      </w:pPr>
      <w:r>
        <w:t xml:space="preserve">5. Bug Indicators</w:t>
      </w:r>
    </w:p>
    <w:p>
      <w:pPr>
        <w:pStyle w:val="Heading2"/>
      </w:pPr>
      <w:r>
        <w:t xml:space="preserve">5.1 Open FIXME sites (15 total)</w:t>
      </w:r>
    </w:p>
    <w:p>
      <w:pPr>
        <w:spacing w:after="120"/>
      </w:pPr>
      <w:r>
        <w:t xml:space="preserve">The following files contain unresolved FIXME branches: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Quad_XML.cc — 5 FIXMEs for unhandled XML node types (NT_error, NT_end_tag). Malformed XML input can trigger these at runtime, causing unexpected exceptions.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SymbolTable.cc — 2 FIXMEs in symbol resolution paths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Cmd_LIB.cc, Cmd_IN.cc — unhandled command branches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UCS_string.cc — Unicode edge case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Recommendation: Resolve the 5 Quad_XML.cc FIXMEs with proper error returns before any further XML feature work.</w:t>
      </w:r>
    </w:p>
    <w:p>
      <w:pPr>
        <w:pStyle w:val="Heading2"/>
      </w:pPr>
      <w:r>
        <w:t xml:space="preserve">5.2 Hard asserts in production (553 Assert calls)</w:t>
      </w:r>
    </w:p>
    <w:p>
      <w:pPr>
        <w:spacing w:after="120"/>
      </w:pPr>
      <w:r>
        <w:t xml:space="preserve">Assert calls are live in release builds (common in interpreter design), so any unhandled edge case hard-crashes the interpreter rather than returning an APL domain error. This makes the interpreter fragile against adversarial or malformed inputs.</w:t>
      </w:r>
    </w:p>
    <w:p>
      <w:pPr>
        <w:pBdr>
          <w:bottom w:val="single" w:color="DDDDDD" w:sz="4" w:space="1"/>
        </w:pBdr>
        <w:spacing w:after="160" w:before="160"/>
      </w:pPr>
    </w:p>
    <w:p>
      <w:pPr>
        <w:pStyle w:val="Heading1"/>
      </w:pPr>
      <w:r>
        <w:t xml:space="preserve">6. Top Recommendations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Priority 1 — Security: 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  <w:ind w:left="720"/>
      </w:pPr>
      <w:r>
        <w:rPr>
          <w:rFonts w:ascii="Arial" w:cs="Arial" w:eastAsia="Arial" w:hAnsi="Arial"/>
          <w:sz w:val="22"/>
          <w:szCs w:val="22"/>
        </w:rPr>
        <w:t xml:space="preserve">Flip disable_Quad_FIO__exec and disable_Quad_FIO__write to opt-in secure defaults. Document the required preference file entries for administrators who need shell access.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Priority 2 — Memory: 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  <w:ind w:left="720"/>
      </w:pPr>
      <w:r>
        <w:rPr>
          <w:rFonts w:ascii="Arial" w:cs="Arial" w:eastAsia="Arial" w:hAnsi="Arial"/>
          <w:sz w:val="22"/>
          <w:szCs w:val="22"/>
        </w:rPr>
        <w:t xml:space="preserve">Run AddressSanitizer + Valgrind on the full test suite to determine whether the new/delete gap represents real leaks or is entirely absorbed by the Value_P ref-count system.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Priority 3 — Bugs: </w:t>
      </w: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/>
        <w:ind w:left="720"/>
      </w:pPr>
      <w:r>
        <w:rPr>
          <w:rFonts w:ascii="Arial" w:cs="Arial" w:eastAsia="Arial" w:hAnsi="Arial"/>
          <w:sz w:val="22"/>
          <w:szCs w:val="22"/>
        </w:rPr>
        <w:t xml:space="preserve">Replace the 5 FIXME branches in Quad_XML.cc with proper DOMAIN_ERROR or SYNTAX_ERROR returns to prevent unexpected throw paths on malformed XML input.</w:t>
      </w:r>
    </w:p>
    <w:p>
      <w:pPr>
        <w:spacing w:after="160"/>
      </w:pPr>
    </w:p>
    <w:p>
      <w:pPr>
        <w:pBdr>
          <w:bottom w:val="single" w:color="DDDDDD" w:sz="4" w:space="1"/>
        </w:pBdr>
        <w:spacing w:after="160" w:before="160"/>
      </w:pPr>
    </w:p>
    <w:p>
      <w:pPr>
        <w:spacing w:before="160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End of report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1"/>
      </w:pBdr>
      <w:tabs>
        <w:tab w:val="right" w:pos="9026"/>
      </w:tabs>
    </w:pPr>
    <w:r>
      <w:rPr>
        <w:rFonts w:ascii="Arial" w:cs="Arial" w:eastAsia="Arial" w:hAnsi="Arial"/>
        <w:color w:val="999999"/>
        <w:sz w:val="18"/>
        <w:szCs w:val="18"/>
      </w:rPr>
      <w:t xml:space="preserve">Confidential</w:t>
    </w:r>
    <w:r>
      <w:rPr>
        <w:rFonts w:ascii="Arial" w:cs="Arial" w:eastAsia="Arial" w:hAnsi="Arial"/>
        <w:color w:val="999999"/>
        <w:sz w:val="18"/>
        <w:szCs w:val="18"/>
      </w:rPr>
      <w:t xml:space="preserve">	Confidential — April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4A7A" w:sz="4" w:space="1"/>
      </w:pBdr>
    </w:pPr>
    <w:r>
      <w:rPr>
        <w:rFonts w:ascii="Arial" w:cs="Arial" w:eastAsia="Arial" w:hAnsi="Arial"/>
        <w:color w:val="2E4A7A"/>
        <w:sz w:val="20"/>
        <w:szCs w:val="20"/>
      </w:rPr>
      <w:t xml:space="preserve">GNU APL 2.0 — Deep Code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4A7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2026-04-19T15:25:47.644Z</dcterms:created>
  <dcterms:modified xsi:type="dcterms:W3CDTF">2026-04-19T15:25:47.646Z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